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7C3" w:rsidRDefault="008D77C3" w:rsidP="008D77C3">
      <w:pPr>
        <w:pStyle w:val="ListParagraph"/>
        <w:suppressAutoHyphens/>
        <w:spacing w:line="252" w:lineRule="auto"/>
        <w:ind w:left="720"/>
        <w:rPr>
          <w:rFonts w:ascii="Times New Roman" w:eastAsia="Calibri" w:hAnsi="Times New Roman"/>
          <w:b/>
          <w:color w:val="4472C4"/>
          <w:u w:val="single"/>
        </w:rPr>
      </w:pPr>
      <w:bookmarkStart w:id="0" w:name="_GoBack"/>
      <w:bookmarkEnd w:id="0"/>
      <w:r>
        <w:rPr>
          <w:rFonts w:ascii="Times New Roman" w:eastAsia="Calibri" w:hAnsi="Times New Roman"/>
          <w:b/>
          <w:color w:val="4472C4"/>
          <w:u w:val="single"/>
        </w:rPr>
        <w:t>Projet stratégique pour l’épanouissement de la jeunesse tchadienne : construction de centres de loisirs et d’espaces flexibles dans les arrondissements de Ndjamena.</w:t>
      </w:r>
    </w:p>
    <w:p w:rsidR="008D77C3" w:rsidRDefault="008D77C3" w:rsidP="008D77C3">
      <w:pPr>
        <w:spacing w:line="247" w:lineRule="auto"/>
        <w:jc w:val="both"/>
        <w:rPr>
          <w:rFonts w:ascii="Times New Roman" w:eastAsia="Calibri" w:hAnsi="Times New Roman"/>
        </w:rPr>
      </w:pPr>
      <w:r>
        <w:rPr>
          <w:rFonts w:ascii="Times New Roman" w:eastAsia="Century Gothic" w:hAnsi="Times New Roman"/>
          <w:b/>
          <w:u w:val="single" w:color="000000"/>
        </w:rPr>
        <w:t>Partenaires Cibles :</w:t>
      </w:r>
      <w:r>
        <w:rPr>
          <w:rFonts w:ascii="Times New Roman" w:eastAsia="Century Gothic" w:hAnsi="Times New Roman"/>
        </w:rPr>
        <w:t xml:space="preserve"> Banque Islamique de Développement, Turquie, Arabie Saoudite, Algérie, Russie et France.  </w:t>
      </w:r>
    </w:p>
    <w:p w:rsidR="008D77C3" w:rsidRDefault="008D77C3" w:rsidP="008D77C3">
      <w:pPr>
        <w:jc w:val="center"/>
        <w:rPr>
          <w:rFonts w:ascii="Times New Roman" w:eastAsia="Calibri" w:hAnsi="Times New Roman"/>
          <w:b/>
          <w:u w:val="single"/>
        </w:rPr>
      </w:pPr>
      <w:r>
        <w:rPr>
          <w:rFonts w:ascii="Times New Roman" w:eastAsia="Calibri" w:hAnsi="Times New Roman"/>
          <w:b/>
          <w:u w:val="single"/>
        </w:rPr>
        <w:t>NOTE CONCEPTUELLE</w:t>
      </w:r>
    </w:p>
    <w:p w:rsidR="008D77C3" w:rsidRDefault="008D77C3" w:rsidP="008D77C3">
      <w:pPr>
        <w:rPr>
          <w:rFonts w:ascii="Times New Roman" w:eastAsia="Calibri" w:hAnsi="Times New Roman"/>
        </w:rPr>
      </w:pPr>
      <w:r>
        <w:rPr>
          <w:rFonts w:ascii="Times New Roman" w:eastAsia="Century Gothic" w:hAnsi="Times New Roman"/>
        </w:rPr>
        <w:t xml:space="preserve">Le Gouvernement tchadien, par l'entremise du Ministère de la Jeunesse et des Sports et du Leadership Entrepreneurial (MJLSLE), sollicite un partenariat stratégique pour répondre à une urgence sociale : le </w:t>
      </w:r>
      <w:r>
        <w:rPr>
          <w:rFonts w:ascii="Times New Roman" w:eastAsia="Century Gothic" w:hAnsi="Times New Roman"/>
          <w:b/>
        </w:rPr>
        <w:t>déficit critique d'infrastructures de loisirs saines</w:t>
      </w:r>
      <w:r>
        <w:rPr>
          <w:rFonts w:ascii="Times New Roman" w:eastAsia="Century Gothic" w:hAnsi="Times New Roman"/>
        </w:rPr>
        <w:t xml:space="preserve"> à N'Djamena. La capitale souffre d'une pénurie marquée d'infrastructures formelles, laissant la jeunesse, qui représente la majorité de la population, sans cadre structurant. Ce vide favorise la désorientation et la </w:t>
      </w:r>
      <w:r>
        <w:rPr>
          <w:rFonts w:ascii="Times New Roman" w:eastAsia="Century Gothic" w:hAnsi="Times New Roman"/>
          <w:b/>
        </w:rPr>
        <w:t>pratique d’actes déviants</w:t>
      </w:r>
      <w:r>
        <w:rPr>
          <w:rFonts w:ascii="Times New Roman" w:eastAsia="Century Gothic" w:hAnsi="Times New Roman"/>
        </w:rPr>
        <w:t xml:space="preserve"> (vol, violence, alcoolisme). </w:t>
      </w:r>
    </w:p>
    <w:p w:rsidR="008D77C3" w:rsidRDefault="008D77C3" w:rsidP="008D77C3">
      <w:pPr>
        <w:rPr>
          <w:rFonts w:ascii="Times New Roman" w:eastAsia="Calibri" w:hAnsi="Times New Roman"/>
        </w:rPr>
      </w:pPr>
      <w:r>
        <w:rPr>
          <w:rFonts w:ascii="Times New Roman" w:eastAsia="Century Gothic" w:hAnsi="Times New Roman"/>
        </w:rPr>
        <w:t xml:space="preserve">Ce projet propose la construction de </w:t>
      </w:r>
      <w:r>
        <w:rPr>
          <w:rFonts w:ascii="Times New Roman" w:eastAsia="Century Gothic" w:hAnsi="Times New Roman"/>
          <w:b/>
        </w:rPr>
        <w:t>Centres de Loisirs Multifonctionnels</w:t>
      </w:r>
      <w:r>
        <w:rPr>
          <w:rFonts w:ascii="Times New Roman" w:eastAsia="Century Gothic" w:hAnsi="Times New Roman"/>
        </w:rPr>
        <w:t xml:space="preserve"> dans les arrondissements périphériques, les plus démunis en équipements. Ces espaces flexibles seront des vecteurs de cohésion sociale, d'éducation, et de paix. L'engagement des partenaires est essentiel pour offrir une alternative saine et durable à la jeunesse tchadienne. </w:t>
      </w:r>
    </w:p>
    <w:p w:rsidR="008D77C3" w:rsidRDefault="008D77C3" w:rsidP="008D77C3">
      <w:pPr>
        <w:tabs>
          <w:tab w:val="center" w:pos="0"/>
          <w:tab w:val="center" w:pos="855"/>
          <w:tab w:val="center" w:pos="4185"/>
          <w:tab w:val="center" w:pos="30000"/>
        </w:tabs>
        <w:rPr>
          <w:rFonts w:ascii="Times New Roman" w:eastAsia="Calibri" w:hAnsi="Times New Roman"/>
        </w:rPr>
      </w:pPr>
      <w:r>
        <w:rPr>
          <w:rFonts w:ascii="Times New Roman" w:eastAsia="Calibri" w:hAnsi="Times New Roman"/>
        </w:rPr>
        <w:tab/>
      </w:r>
      <w:r>
        <w:rPr>
          <w:rFonts w:ascii="Times New Roman" w:eastAsia="Century Gothic" w:hAnsi="Times New Roman"/>
          <w:b/>
        </w:rPr>
        <w:t>I.</w:t>
      </w:r>
      <w:r>
        <w:rPr>
          <w:rFonts w:ascii="Times New Roman" w:eastAsia="Arial" w:hAnsi="Times New Roman"/>
          <w:b/>
        </w:rPr>
        <w:t xml:space="preserve"> </w:t>
      </w:r>
      <w:r>
        <w:rPr>
          <w:rFonts w:ascii="Times New Roman" w:eastAsia="Arial" w:hAnsi="Times New Roman"/>
          <w:b/>
        </w:rPr>
        <w:tab/>
      </w:r>
      <w:r>
        <w:rPr>
          <w:rFonts w:ascii="Times New Roman" w:eastAsia="Century Gothic" w:hAnsi="Times New Roman"/>
          <w:b/>
          <w:u w:val="single" w:color="000000"/>
        </w:rPr>
        <w:t>CONTEXTE, DIAGNOSTIC ET JUSTIFICATION DE L’URGENCE SOCIALE</w:t>
      </w:r>
      <w:r>
        <w:rPr>
          <w:rFonts w:ascii="Times New Roman" w:eastAsia="Century Gothic" w:hAnsi="Times New Roman"/>
          <w:b/>
        </w:rPr>
        <w:t xml:space="preserve"> </w:t>
      </w:r>
    </w:p>
    <w:p w:rsidR="008D77C3" w:rsidRDefault="008D77C3" w:rsidP="008D77C3">
      <w:pPr>
        <w:numPr>
          <w:ilvl w:val="0"/>
          <w:numId w:val="2"/>
        </w:numPr>
        <w:spacing w:line="254" w:lineRule="auto"/>
        <w:jc w:val="both"/>
        <w:rPr>
          <w:rFonts w:ascii="Times New Roman" w:eastAsia="Calibri" w:hAnsi="Times New Roman"/>
        </w:rPr>
      </w:pPr>
      <w:r>
        <w:rPr>
          <w:rFonts w:ascii="Times New Roman" w:eastAsia="Century Gothic" w:hAnsi="Times New Roman"/>
          <w:b/>
        </w:rPr>
        <w:t xml:space="preserve">Constat de l'Offre et Localisation des Besoins </w:t>
      </w:r>
    </w:p>
    <w:p w:rsidR="008D77C3" w:rsidRDefault="008D77C3" w:rsidP="008D77C3">
      <w:pPr>
        <w:spacing w:line="247" w:lineRule="auto"/>
        <w:jc w:val="both"/>
        <w:rPr>
          <w:rFonts w:ascii="Times New Roman" w:eastAsia="Calibri" w:hAnsi="Times New Roman"/>
        </w:rPr>
      </w:pPr>
      <w:r>
        <w:rPr>
          <w:rFonts w:ascii="Times New Roman" w:eastAsia="Century Gothic" w:hAnsi="Times New Roman"/>
        </w:rPr>
        <w:t xml:space="preserve">N'Djamena manque cruellement d’infrastructures dédiées au divertissement et aux loisirs. Ce déficit pousse les jeunes à se tourner vers les débits de boissons (snacks, bars, boîtes de nuit), souvent les seuls lieux de divertissement disponibles. De surcroît, il est constaté un manque criant d’espaces verts et d’aménagements qui affectent la santé mentale et physique de la population. </w:t>
      </w:r>
    </w:p>
    <w:p w:rsidR="008D77C3" w:rsidRDefault="008D77C3" w:rsidP="008D77C3">
      <w:pPr>
        <w:spacing w:line="247" w:lineRule="auto"/>
        <w:jc w:val="both"/>
        <w:rPr>
          <w:rFonts w:ascii="Times New Roman" w:eastAsia="Calibri" w:hAnsi="Times New Roman"/>
        </w:rPr>
      </w:pPr>
      <w:r>
        <w:rPr>
          <w:rFonts w:ascii="Times New Roman" w:eastAsia="Century Gothic" w:hAnsi="Times New Roman"/>
        </w:rPr>
        <w:t xml:space="preserve">Concernant les équipements sportifs : </w:t>
      </w:r>
    </w:p>
    <w:p w:rsidR="008D77C3" w:rsidRDefault="008D77C3" w:rsidP="008D77C3">
      <w:pPr>
        <w:numPr>
          <w:ilvl w:val="1"/>
          <w:numId w:val="2"/>
        </w:numPr>
        <w:spacing w:line="247" w:lineRule="auto"/>
        <w:jc w:val="both"/>
        <w:rPr>
          <w:rFonts w:ascii="Times New Roman" w:eastAsia="Calibri" w:hAnsi="Times New Roman"/>
        </w:rPr>
      </w:pPr>
      <w:r>
        <w:rPr>
          <w:rFonts w:ascii="Times New Roman" w:eastAsia="Century Gothic" w:hAnsi="Times New Roman"/>
        </w:rPr>
        <w:t xml:space="preserve">L'offre est faible et souvent concentrée dans les </w:t>
      </w:r>
      <w:r>
        <w:rPr>
          <w:rFonts w:ascii="Times New Roman" w:eastAsia="Century Gothic" w:hAnsi="Times New Roman"/>
          <w:b/>
        </w:rPr>
        <w:t>arrondissements centraux</w:t>
      </w:r>
      <w:r>
        <w:rPr>
          <w:rFonts w:ascii="Times New Roman" w:eastAsia="Century Gothic" w:hAnsi="Times New Roman"/>
        </w:rPr>
        <w:t xml:space="preserve">. </w:t>
      </w:r>
    </w:p>
    <w:p w:rsidR="008D77C3" w:rsidRDefault="008D77C3" w:rsidP="008D77C3">
      <w:pPr>
        <w:numPr>
          <w:ilvl w:val="1"/>
          <w:numId w:val="2"/>
        </w:numPr>
        <w:spacing w:line="247" w:lineRule="auto"/>
        <w:jc w:val="both"/>
        <w:rPr>
          <w:rFonts w:ascii="Times New Roman" w:eastAsia="Calibri" w:hAnsi="Times New Roman"/>
        </w:rPr>
      </w:pPr>
      <w:r>
        <w:rPr>
          <w:rFonts w:ascii="Times New Roman" w:eastAsia="Century Gothic" w:hAnsi="Times New Roman"/>
        </w:rPr>
        <w:t xml:space="preserve">Les </w:t>
      </w:r>
      <w:r>
        <w:rPr>
          <w:rFonts w:ascii="Times New Roman" w:eastAsia="Century Gothic" w:hAnsi="Times New Roman"/>
          <w:b/>
        </w:rPr>
        <w:t>arrondissements périphériques</w:t>
      </w:r>
      <w:r>
        <w:rPr>
          <w:rFonts w:ascii="Times New Roman" w:eastAsia="Century Gothic" w:hAnsi="Times New Roman"/>
        </w:rPr>
        <w:t xml:space="preserve"> </w:t>
      </w:r>
      <w:r>
        <w:rPr>
          <w:rFonts w:ascii="Times New Roman" w:eastAsia="Century Gothic" w:hAnsi="Times New Roman"/>
        </w:rPr>
        <w:tab/>
        <w:t xml:space="preserve">souffrent </w:t>
      </w:r>
      <w:r>
        <w:rPr>
          <w:rFonts w:ascii="Times New Roman" w:eastAsia="Century Gothic" w:hAnsi="Times New Roman"/>
        </w:rPr>
        <w:tab/>
        <w:t xml:space="preserve">d'une </w:t>
      </w:r>
      <w:r>
        <w:rPr>
          <w:rFonts w:ascii="Times New Roman" w:eastAsia="Century Gothic" w:hAnsi="Times New Roman"/>
        </w:rPr>
        <w:tab/>
        <w:t xml:space="preserve">grande </w:t>
      </w:r>
      <w:r>
        <w:rPr>
          <w:rFonts w:ascii="Times New Roman" w:eastAsia="Century Gothic" w:hAnsi="Times New Roman"/>
        </w:rPr>
        <w:tab/>
        <w:t xml:space="preserve">lacune </w:t>
      </w:r>
      <w:r>
        <w:rPr>
          <w:rFonts w:ascii="Times New Roman" w:eastAsia="Century Gothic" w:hAnsi="Times New Roman"/>
        </w:rPr>
        <w:tab/>
        <w:t xml:space="preserve">en équipements. </w:t>
      </w:r>
    </w:p>
    <w:p w:rsidR="008D77C3" w:rsidRDefault="008D77C3" w:rsidP="008D77C3">
      <w:pPr>
        <w:numPr>
          <w:ilvl w:val="1"/>
          <w:numId w:val="2"/>
        </w:numPr>
        <w:spacing w:line="247" w:lineRule="auto"/>
        <w:jc w:val="both"/>
        <w:rPr>
          <w:rFonts w:ascii="Times New Roman" w:eastAsia="Calibri" w:hAnsi="Times New Roman"/>
        </w:rPr>
      </w:pPr>
      <w:r>
        <w:rPr>
          <w:rFonts w:ascii="Times New Roman" w:eastAsia="Century Gothic" w:hAnsi="Times New Roman"/>
        </w:rPr>
        <w:t xml:space="preserve">Les équipements publics existants sont fréquemment en </w:t>
      </w:r>
      <w:r>
        <w:rPr>
          <w:rFonts w:ascii="Times New Roman" w:eastAsia="Century Gothic" w:hAnsi="Times New Roman"/>
          <w:b/>
        </w:rPr>
        <w:t>mauvais état, peu entretenus et parfois inutilisables</w:t>
      </w:r>
      <w:r>
        <w:rPr>
          <w:rFonts w:ascii="Times New Roman" w:eastAsia="Century Gothic" w:hAnsi="Times New Roman"/>
        </w:rPr>
        <w:t xml:space="preserve">, rendant la pratique sportive difficile, voire dangereuse. </w:t>
      </w:r>
    </w:p>
    <w:p w:rsidR="008D77C3" w:rsidRDefault="008D77C3" w:rsidP="008D77C3">
      <w:pPr>
        <w:numPr>
          <w:ilvl w:val="0"/>
          <w:numId w:val="2"/>
        </w:numPr>
        <w:spacing w:line="254" w:lineRule="auto"/>
        <w:jc w:val="both"/>
        <w:rPr>
          <w:rFonts w:ascii="Times New Roman" w:eastAsia="Calibri" w:hAnsi="Times New Roman"/>
        </w:rPr>
      </w:pPr>
      <w:r>
        <w:rPr>
          <w:rFonts w:ascii="Times New Roman" w:eastAsia="Century Gothic" w:hAnsi="Times New Roman"/>
          <w:b/>
        </w:rPr>
        <w:t xml:space="preserve">Conséquences Sociales du Déficit </w:t>
      </w:r>
    </w:p>
    <w:p w:rsidR="008D77C3" w:rsidRDefault="008D77C3" w:rsidP="008D77C3">
      <w:pPr>
        <w:spacing w:line="247" w:lineRule="auto"/>
        <w:jc w:val="both"/>
        <w:rPr>
          <w:rFonts w:ascii="Times New Roman" w:eastAsia="Calibri" w:hAnsi="Times New Roman"/>
        </w:rPr>
      </w:pPr>
      <w:r>
        <w:rPr>
          <w:rFonts w:ascii="Times New Roman" w:eastAsia="Century Gothic" w:hAnsi="Times New Roman"/>
        </w:rPr>
        <w:t xml:space="preserve">L'absence de structures de loisirs saines est un facteur majeur contribuant à la désorientation de la jeunesse et à la </w:t>
      </w:r>
      <w:r>
        <w:rPr>
          <w:rFonts w:ascii="Times New Roman" w:eastAsia="Century Gothic" w:hAnsi="Times New Roman"/>
          <w:b/>
        </w:rPr>
        <w:t>pratique d’actes déviants</w:t>
      </w:r>
      <w:r>
        <w:rPr>
          <w:rFonts w:ascii="Times New Roman" w:eastAsia="Century Gothic" w:hAnsi="Times New Roman"/>
        </w:rPr>
        <w:t xml:space="preserve"> tels que le vol, la violence et l'alcoolisme. La rareté des lieux de retrouvailles limite également les opportunités de lien social et de cohésion, affectant la possibilité de se détendre en famille ou entre amis. Par opposition, le sport et l’activité physique sont reconnus comme des vecteurs cruciaux de lien social, d'éducation et de paix. </w:t>
      </w:r>
    </w:p>
    <w:p w:rsidR="008D77C3" w:rsidRDefault="008D77C3" w:rsidP="008D77C3">
      <w:pPr>
        <w:pStyle w:val="Titre2"/>
        <w:tabs>
          <w:tab w:val="center" w:pos="2790"/>
          <w:tab w:val="center" w:pos="4185"/>
          <w:tab w:val="center" w:pos="10000"/>
          <w:tab w:val="center" w:pos="31680"/>
        </w:tabs>
        <w:rPr>
          <w:rFonts w:ascii="Times New Roman" w:hAnsi="Times New Roman"/>
          <w:b/>
          <w:bCs/>
          <w:sz w:val="36"/>
          <w:szCs w:val="36"/>
        </w:rPr>
      </w:pPr>
      <w:r>
        <w:rPr>
          <w:rFonts w:ascii="Times New Roman" w:hAnsi="Times New Roman"/>
          <w:b/>
          <w:bCs/>
          <w:sz w:val="36"/>
          <w:szCs w:val="36"/>
        </w:rPr>
        <w:lastRenderedPageBreak/>
        <w:tab/>
        <w:t>II.</w:t>
      </w:r>
      <w:r>
        <w:rPr>
          <w:rFonts w:ascii="Times New Roman" w:eastAsia="Arial" w:hAnsi="Times New Roman"/>
          <w:b/>
          <w:bCs/>
          <w:sz w:val="36"/>
          <w:szCs w:val="36"/>
        </w:rPr>
        <w:t xml:space="preserve"> </w:t>
      </w:r>
      <w:r>
        <w:rPr>
          <w:rFonts w:ascii="Times New Roman" w:eastAsia="Arial" w:hAnsi="Times New Roman"/>
          <w:b/>
          <w:bCs/>
          <w:sz w:val="36"/>
          <w:szCs w:val="36"/>
        </w:rPr>
        <w:tab/>
      </w:r>
      <w:r>
        <w:rPr>
          <w:rFonts w:ascii="Times New Roman" w:hAnsi="Times New Roman"/>
          <w:b/>
          <w:bCs/>
          <w:sz w:val="36"/>
          <w:szCs w:val="36"/>
        </w:rPr>
        <w:t xml:space="preserve">OBJECTIFS DU PROJET </w:t>
      </w:r>
    </w:p>
    <w:p w:rsidR="008D77C3" w:rsidRDefault="008D77C3" w:rsidP="008D77C3">
      <w:pPr>
        <w:rPr>
          <w:rFonts w:ascii="Times New Roman" w:eastAsia="Calibri" w:hAnsi="Times New Roman"/>
        </w:rPr>
      </w:pPr>
      <w:r>
        <w:rPr>
          <w:rFonts w:ascii="Times New Roman" w:eastAsia="Century Gothic" w:hAnsi="Times New Roman"/>
          <w:b/>
        </w:rPr>
        <w:t xml:space="preserve"> </w:t>
      </w:r>
    </w:p>
    <w:p w:rsidR="008D77C3" w:rsidRDefault="008D77C3" w:rsidP="008D77C3">
      <w:pPr>
        <w:numPr>
          <w:ilvl w:val="0"/>
          <w:numId w:val="3"/>
        </w:numPr>
        <w:spacing w:line="254" w:lineRule="auto"/>
        <w:jc w:val="center"/>
        <w:rPr>
          <w:rFonts w:ascii="Times New Roman" w:eastAsia="Calibri" w:hAnsi="Times New Roman"/>
        </w:rPr>
      </w:pPr>
      <w:r>
        <w:rPr>
          <w:rFonts w:ascii="Times New Roman" w:eastAsia="Century Gothic" w:hAnsi="Times New Roman"/>
          <w:b/>
        </w:rPr>
        <w:t xml:space="preserve">Objectifs Général </w:t>
      </w:r>
    </w:p>
    <w:p w:rsidR="008D77C3" w:rsidRDefault="008D77C3" w:rsidP="008D77C3">
      <w:pPr>
        <w:spacing w:line="247" w:lineRule="auto"/>
        <w:jc w:val="both"/>
        <w:rPr>
          <w:rFonts w:ascii="Times New Roman" w:eastAsia="Calibri" w:hAnsi="Times New Roman"/>
        </w:rPr>
      </w:pPr>
      <w:r>
        <w:rPr>
          <w:rFonts w:ascii="Times New Roman" w:eastAsia="Century Gothic" w:hAnsi="Times New Roman"/>
        </w:rPr>
        <w:t xml:space="preserve">L'objectif principal est de fournir un </w:t>
      </w:r>
      <w:r>
        <w:rPr>
          <w:rFonts w:ascii="Times New Roman" w:eastAsia="Century Gothic" w:hAnsi="Times New Roman"/>
          <w:b/>
        </w:rPr>
        <w:t>cadre structurant</w:t>
      </w:r>
      <w:r>
        <w:rPr>
          <w:rFonts w:ascii="Times New Roman" w:eastAsia="Century Gothic" w:hAnsi="Times New Roman"/>
        </w:rPr>
        <w:t xml:space="preserve"> à la jeunesse tchadienne en comblant le manque d'infrastructures de loisirs. </w:t>
      </w:r>
    </w:p>
    <w:p w:rsidR="008D77C3" w:rsidRDefault="008D77C3" w:rsidP="008D77C3">
      <w:pPr>
        <w:rPr>
          <w:rFonts w:ascii="Times New Roman" w:eastAsia="Calibri" w:hAnsi="Times New Roman"/>
        </w:rPr>
      </w:pPr>
      <w:r>
        <w:rPr>
          <w:rFonts w:ascii="Times New Roman" w:eastAsia="Century Gothic" w:hAnsi="Times New Roman"/>
        </w:rPr>
        <w:t xml:space="preserve"> </w:t>
      </w:r>
    </w:p>
    <w:p w:rsidR="008D77C3" w:rsidRDefault="008D77C3" w:rsidP="008D77C3">
      <w:pPr>
        <w:numPr>
          <w:ilvl w:val="0"/>
          <w:numId w:val="3"/>
        </w:numPr>
        <w:spacing w:line="254" w:lineRule="auto"/>
        <w:jc w:val="center"/>
        <w:rPr>
          <w:rFonts w:ascii="Times New Roman" w:eastAsia="Calibri" w:hAnsi="Times New Roman"/>
        </w:rPr>
      </w:pPr>
      <w:r>
        <w:rPr>
          <w:rFonts w:ascii="Times New Roman" w:eastAsia="Century Gothic" w:hAnsi="Times New Roman"/>
          <w:b/>
        </w:rPr>
        <w:t xml:space="preserve">Objectifs Général </w:t>
      </w:r>
    </w:p>
    <w:p w:rsidR="008D77C3" w:rsidRDefault="008D77C3" w:rsidP="008D77C3">
      <w:pPr>
        <w:spacing w:line="247" w:lineRule="auto"/>
        <w:jc w:val="both"/>
        <w:rPr>
          <w:rFonts w:ascii="Times New Roman" w:eastAsia="Calibri" w:hAnsi="Times New Roman"/>
        </w:rPr>
      </w:pPr>
      <w:r>
        <w:rPr>
          <w:rFonts w:ascii="Times New Roman" w:eastAsia="Century Gothic" w:hAnsi="Times New Roman"/>
        </w:rPr>
        <w:t xml:space="preserve">Les objectifs spécifiques sont de : </w:t>
      </w:r>
    </w:p>
    <w:p w:rsidR="008D77C3" w:rsidRDefault="008D77C3" w:rsidP="008D77C3">
      <w:pPr>
        <w:numPr>
          <w:ilvl w:val="0"/>
          <w:numId w:val="4"/>
        </w:numPr>
        <w:spacing w:line="247" w:lineRule="auto"/>
        <w:jc w:val="both"/>
        <w:rPr>
          <w:rFonts w:ascii="Times New Roman" w:eastAsia="Calibri" w:hAnsi="Times New Roman"/>
        </w:rPr>
      </w:pPr>
      <w:r>
        <w:rPr>
          <w:rFonts w:ascii="Times New Roman" w:eastAsia="Century Gothic" w:hAnsi="Times New Roman"/>
        </w:rPr>
        <w:t xml:space="preserve">Lutter contre la délinquance et les comportements déviants en offrant des alternatives saines et des opportunités d'encadrement culturel et sportif aux jeunes. </w:t>
      </w:r>
    </w:p>
    <w:p w:rsidR="008D77C3" w:rsidRDefault="008D77C3" w:rsidP="008D77C3">
      <w:pPr>
        <w:rPr>
          <w:rFonts w:ascii="Times New Roman" w:eastAsia="Calibri" w:hAnsi="Times New Roman"/>
        </w:rPr>
      </w:pPr>
      <w:r>
        <w:rPr>
          <w:rFonts w:ascii="Times New Roman" w:eastAsia="Century Gothic" w:hAnsi="Times New Roman"/>
        </w:rPr>
        <w:t xml:space="preserve"> </w:t>
      </w:r>
    </w:p>
    <w:p w:rsidR="008D77C3" w:rsidRDefault="008D77C3" w:rsidP="008D77C3">
      <w:pPr>
        <w:numPr>
          <w:ilvl w:val="0"/>
          <w:numId w:val="4"/>
        </w:numPr>
        <w:spacing w:line="247" w:lineRule="auto"/>
        <w:jc w:val="both"/>
        <w:rPr>
          <w:rFonts w:ascii="Times New Roman" w:eastAsia="Calibri" w:hAnsi="Times New Roman"/>
        </w:rPr>
      </w:pPr>
      <w:r>
        <w:rPr>
          <w:rFonts w:ascii="Times New Roman" w:eastAsia="Century Gothic" w:hAnsi="Times New Roman"/>
        </w:rPr>
        <w:t xml:space="preserve">Promouvoir les activités culturelles et sportives, et lutter contre la sédentarité en promouvant le sport pour tous. </w:t>
      </w:r>
    </w:p>
    <w:p w:rsidR="008D77C3" w:rsidRDefault="008D77C3" w:rsidP="008D77C3">
      <w:pPr>
        <w:rPr>
          <w:rFonts w:ascii="Times New Roman" w:eastAsia="Calibri" w:hAnsi="Times New Roman"/>
        </w:rPr>
      </w:pPr>
      <w:r>
        <w:rPr>
          <w:rFonts w:ascii="Times New Roman" w:eastAsia="Century Gothic" w:hAnsi="Times New Roman"/>
        </w:rPr>
        <w:t xml:space="preserve"> </w:t>
      </w:r>
    </w:p>
    <w:p w:rsidR="008D77C3" w:rsidRDefault="008D77C3" w:rsidP="008D77C3">
      <w:pPr>
        <w:rPr>
          <w:rFonts w:ascii="Times New Roman" w:eastAsia="Calibri" w:hAnsi="Times New Roman"/>
        </w:rPr>
      </w:pPr>
      <w:r>
        <w:rPr>
          <w:rFonts w:ascii="Times New Roman" w:eastAsia="Century Gothic" w:hAnsi="Times New Roman"/>
        </w:rPr>
        <w:t xml:space="preserve"> </w:t>
      </w:r>
    </w:p>
    <w:p w:rsidR="008D77C3" w:rsidRDefault="008D77C3" w:rsidP="008D77C3">
      <w:pPr>
        <w:numPr>
          <w:ilvl w:val="0"/>
          <w:numId w:val="4"/>
        </w:numPr>
        <w:spacing w:line="247" w:lineRule="auto"/>
        <w:jc w:val="both"/>
        <w:rPr>
          <w:rFonts w:ascii="Times New Roman" w:eastAsia="Calibri" w:hAnsi="Times New Roman"/>
        </w:rPr>
      </w:pPr>
      <w:r>
        <w:rPr>
          <w:rFonts w:ascii="Times New Roman" w:eastAsia="Century Gothic" w:hAnsi="Times New Roman"/>
        </w:rPr>
        <w:t xml:space="preserve">Développer les opportunités de lien social et de cohésion au sein des communautés. </w:t>
      </w:r>
    </w:p>
    <w:p w:rsidR="008D77C3" w:rsidRDefault="008D77C3" w:rsidP="008D77C3">
      <w:pPr>
        <w:rPr>
          <w:rFonts w:ascii="Times New Roman" w:eastAsia="Calibri" w:hAnsi="Times New Roman"/>
        </w:rPr>
      </w:pPr>
      <w:r>
        <w:rPr>
          <w:rFonts w:ascii="Times New Roman" w:eastAsia="Century Gothic" w:hAnsi="Times New Roman"/>
        </w:rPr>
        <w:t xml:space="preserve"> </w:t>
      </w:r>
    </w:p>
    <w:p w:rsidR="008D77C3" w:rsidRDefault="008D77C3" w:rsidP="008D77C3">
      <w:pPr>
        <w:pStyle w:val="Titre2"/>
        <w:rPr>
          <w:rFonts w:ascii="Times New Roman" w:hAnsi="Times New Roman"/>
          <w:b/>
          <w:bCs/>
          <w:sz w:val="36"/>
          <w:szCs w:val="36"/>
        </w:rPr>
      </w:pPr>
      <w:r>
        <w:rPr>
          <w:rFonts w:ascii="Times New Roman" w:hAnsi="Times New Roman"/>
          <w:b/>
          <w:bCs/>
          <w:sz w:val="36"/>
          <w:szCs w:val="36"/>
        </w:rPr>
        <w:t xml:space="preserve">III. DESCRIPTION ET ÉTENDUE DU PROJET (ESPACES FLEXIBLES) </w:t>
      </w:r>
    </w:p>
    <w:p w:rsidR="008D77C3" w:rsidRDefault="008D77C3" w:rsidP="008D77C3">
      <w:pPr>
        <w:spacing w:line="247" w:lineRule="auto"/>
        <w:jc w:val="both"/>
        <w:rPr>
          <w:rFonts w:ascii="Times New Roman" w:eastAsia="Century Gothic" w:hAnsi="Times New Roman"/>
        </w:rPr>
      </w:pPr>
      <w:r>
        <w:rPr>
          <w:rFonts w:ascii="Times New Roman" w:eastAsia="Century Gothic" w:hAnsi="Times New Roman"/>
        </w:rPr>
        <w:t xml:space="preserve">Le projet propose la construction de centres polyvalents, prioritairement situés dans les arrondissements périphériques de N'Djamena. Ces centres seront conçus comme des espaces multifonctionnels et modulables intégrant des aménagements culturels et sportifs de proximité : </w:t>
      </w:r>
    </w:p>
    <w:p w:rsidR="008D77C3" w:rsidRDefault="008D77C3" w:rsidP="008D77C3">
      <w:pPr>
        <w:spacing w:line="247" w:lineRule="auto"/>
        <w:jc w:val="both"/>
        <w:rPr>
          <w:rFonts w:ascii="Times New Roman" w:eastAsia="Calibri" w:hAnsi="Times New Roman"/>
        </w:rPr>
      </w:pPr>
      <w:r>
        <w:rPr>
          <w:rFonts w:ascii="Times New Roman" w:eastAsia="Calibri" w:hAnsi="Times New Roman"/>
        </w:rPr>
        <w:t xml:space="preserve"> </w:t>
      </w:r>
    </w:p>
    <w:tbl>
      <w:tblPr>
        <w:tblStyle w:val="TableGrid"/>
        <w:tblW w:w="0" w:type="auto"/>
        <w:tblInd w:w="0" w:type="dxa"/>
        <w:tblCellMar>
          <w:top w:w="15" w:type="dxa"/>
          <w:left w:w="15" w:type="dxa"/>
          <w:bottom w:w="15" w:type="dxa"/>
          <w:right w:w="15" w:type="dxa"/>
        </w:tblCellMar>
        <w:tblLook w:val="04A0" w:firstRow="1" w:lastRow="0" w:firstColumn="1" w:lastColumn="0" w:noHBand="0" w:noVBand="1"/>
      </w:tblPr>
      <w:tblGrid>
        <w:gridCol w:w="2755"/>
        <w:gridCol w:w="368"/>
        <w:gridCol w:w="2991"/>
        <w:gridCol w:w="2958"/>
      </w:tblGrid>
      <w:tr w:rsidR="008D77C3" w:rsidTr="008D77C3">
        <w:tc>
          <w:tcPr>
            <w:tcW w:w="3360" w:type="dxa"/>
            <w:tcBorders>
              <w:right w:val="nil"/>
            </w:tcBorders>
            <w:shd w:val="clear" w:color="auto" w:fill="DEEAF6"/>
            <w:hideMark/>
          </w:tcPr>
          <w:p w:rsidR="008D77C3" w:rsidRDefault="008D77C3">
            <w:pPr>
              <w:rPr>
                <w:rFonts w:ascii="Times New Roman" w:eastAsia="DengXian" w:hAnsi="Times New Roman"/>
              </w:rPr>
            </w:pPr>
            <w:r>
              <w:rPr>
                <w:rFonts w:ascii="Times New Roman" w:eastAsia="Century Gothic" w:hAnsi="Times New Roman"/>
                <w:b/>
              </w:rPr>
              <w:t>Composante</w:t>
            </w:r>
            <w:r>
              <w:rPr>
                <w:rFonts w:ascii="Times New Roman" w:eastAsia="Century Gothic" w:hAnsi="Times New Roman"/>
              </w:rPr>
              <w:t xml:space="preserve"> </w:t>
            </w:r>
          </w:p>
        </w:tc>
        <w:tc>
          <w:tcPr>
            <w:tcW w:w="420" w:type="dxa"/>
            <w:tcBorders>
              <w:left w:val="nil"/>
            </w:tcBorders>
            <w:shd w:val="clear" w:color="auto" w:fill="DEEAF6"/>
          </w:tcPr>
          <w:p w:rsidR="008D77C3" w:rsidRDefault="008D77C3">
            <w:pPr>
              <w:rPr>
                <w:rFonts w:ascii="Times New Roman" w:eastAsia="DengXian" w:hAnsi="Times New Roman"/>
              </w:rPr>
            </w:pPr>
          </w:p>
        </w:tc>
        <w:tc>
          <w:tcPr>
            <w:tcW w:w="3720" w:type="dxa"/>
            <w:tcBorders>
              <w:left w:val="nil"/>
            </w:tcBorders>
            <w:shd w:val="clear" w:color="auto" w:fill="DEEAF6"/>
            <w:hideMark/>
          </w:tcPr>
          <w:p w:rsidR="008D77C3" w:rsidRDefault="008D77C3">
            <w:pPr>
              <w:rPr>
                <w:rFonts w:ascii="Times New Roman" w:eastAsia="DengXian" w:hAnsi="Times New Roman"/>
              </w:rPr>
            </w:pPr>
            <w:r>
              <w:rPr>
                <w:rFonts w:ascii="Times New Roman" w:eastAsia="Century Gothic" w:hAnsi="Times New Roman"/>
                <w:b/>
              </w:rPr>
              <w:t>Description et Fonctionnalités</w:t>
            </w:r>
            <w:r>
              <w:rPr>
                <w:rFonts w:ascii="Times New Roman" w:eastAsia="Century Gothic" w:hAnsi="Times New Roman"/>
              </w:rPr>
              <w:t xml:space="preserve"> </w:t>
            </w:r>
          </w:p>
        </w:tc>
        <w:tc>
          <w:tcPr>
            <w:tcW w:w="3680" w:type="dxa"/>
            <w:tcBorders>
              <w:left w:val="nil"/>
            </w:tcBorders>
            <w:shd w:val="clear" w:color="auto" w:fill="DEEAF6"/>
            <w:hideMark/>
          </w:tcPr>
          <w:p w:rsidR="008D77C3" w:rsidRDefault="008D77C3">
            <w:pPr>
              <w:rPr>
                <w:rFonts w:ascii="Times New Roman" w:eastAsia="DengXian" w:hAnsi="Times New Roman"/>
              </w:rPr>
            </w:pPr>
            <w:r>
              <w:rPr>
                <w:rFonts w:ascii="Times New Roman" w:eastAsia="Century Gothic" w:hAnsi="Times New Roman"/>
                <w:b/>
              </w:rPr>
              <w:t>Objectif Social Clé</w:t>
            </w:r>
            <w:r>
              <w:rPr>
                <w:rFonts w:ascii="Times New Roman" w:eastAsia="Century Gothic" w:hAnsi="Times New Roman"/>
              </w:rPr>
              <w:t xml:space="preserve"> </w:t>
            </w:r>
          </w:p>
        </w:tc>
      </w:tr>
      <w:tr w:rsidR="008D77C3" w:rsidTr="008D77C3">
        <w:tc>
          <w:tcPr>
            <w:tcW w:w="3360" w:type="dxa"/>
            <w:tcBorders>
              <w:top w:val="nil"/>
              <w:right w:val="nil"/>
            </w:tcBorders>
            <w:shd w:val="clear" w:color="auto" w:fill="E2EFD9"/>
            <w:hideMark/>
          </w:tcPr>
          <w:p w:rsidR="008D77C3" w:rsidRDefault="008D77C3">
            <w:pPr>
              <w:rPr>
                <w:rFonts w:ascii="Times New Roman" w:eastAsia="DengXian" w:hAnsi="Times New Roman"/>
              </w:rPr>
            </w:pPr>
            <w:r>
              <w:rPr>
                <w:rFonts w:ascii="Times New Roman" w:eastAsia="Century Gothic" w:hAnsi="Times New Roman"/>
                <w:b/>
              </w:rPr>
              <w:t xml:space="preserve"> </w:t>
            </w:r>
          </w:p>
          <w:p w:rsidR="008D77C3" w:rsidRDefault="008D77C3">
            <w:pPr>
              <w:rPr>
                <w:rFonts w:ascii="Times New Roman" w:eastAsia="DengXian" w:hAnsi="Times New Roman"/>
              </w:rPr>
            </w:pPr>
            <w:r>
              <w:rPr>
                <w:rFonts w:ascii="Times New Roman" w:eastAsia="Century Gothic" w:hAnsi="Times New Roman"/>
                <w:b/>
              </w:rPr>
              <w:lastRenderedPageBreak/>
              <w:t xml:space="preserve"> </w:t>
            </w:r>
          </w:p>
          <w:p w:rsidR="008D77C3" w:rsidRDefault="008D77C3">
            <w:pPr>
              <w:tabs>
                <w:tab w:val="center" w:pos="1905"/>
                <w:tab w:val="center" w:pos="31680"/>
              </w:tabs>
              <w:rPr>
                <w:rFonts w:ascii="Times New Roman" w:hAnsi="Times New Roman"/>
              </w:rPr>
            </w:pPr>
            <w:r>
              <w:rPr>
                <w:rFonts w:ascii="Times New Roman" w:eastAsia="Century Gothic" w:hAnsi="Times New Roman"/>
                <w:b/>
              </w:rPr>
              <w:t xml:space="preserve">Infrastructures </w:t>
            </w:r>
            <w:r>
              <w:rPr>
                <w:rFonts w:ascii="Times New Roman" w:eastAsia="Century Gothic" w:hAnsi="Times New Roman"/>
                <w:b/>
              </w:rPr>
              <w:tab/>
              <w:t xml:space="preserve">Sportives </w:t>
            </w:r>
          </w:p>
          <w:p w:rsidR="008D77C3" w:rsidRDefault="008D77C3">
            <w:pPr>
              <w:rPr>
                <w:rFonts w:ascii="Times New Roman" w:eastAsia="DengXian" w:hAnsi="Times New Roman"/>
              </w:rPr>
            </w:pPr>
            <w:r>
              <w:rPr>
                <w:rFonts w:ascii="Times New Roman" w:eastAsia="Century Gothic" w:hAnsi="Times New Roman"/>
                <w:b/>
              </w:rPr>
              <w:t xml:space="preserve">Proximité </w:t>
            </w:r>
          </w:p>
        </w:tc>
        <w:tc>
          <w:tcPr>
            <w:tcW w:w="420" w:type="dxa"/>
            <w:tcBorders>
              <w:top w:val="nil"/>
              <w:left w:val="nil"/>
            </w:tcBorders>
            <w:shd w:val="clear" w:color="auto" w:fill="E2EFD9"/>
            <w:hideMark/>
          </w:tcPr>
          <w:p w:rsidR="008D77C3" w:rsidRDefault="008D77C3">
            <w:pPr>
              <w:jc w:val="both"/>
              <w:rPr>
                <w:rFonts w:ascii="Times New Roman" w:hAnsi="Times New Roman"/>
              </w:rPr>
            </w:pPr>
            <w:r>
              <w:rPr>
                <w:rFonts w:ascii="Times New Roman" w:eastAsia="Century Gothic" w:hAnsi="Times New Roman"/>
                <w:b/>
              </w:rPr>
              <w:lastRenderedPageBreak/>
              <w:t xml:space="preserve">de </w:t>
            </w:r>
          </w:p>
        </w:tc>
        <w:tc>
          <w:tcPr>
            <w:tcW w:w="3720" w:type="dxa"/>
            <w:tcBorders>
              <w:top w:val="nil"/>
              <w:left w:val="nil"/>
            </w:tcBorders>
            <w:shd w:val="clear" w:color="auto" w:fill="E7E6E6"/>
            <w:hideMark/>
          </w:tcPr>
          <w:p w:rsidR="008D77C3" w:rsidRDefault="008D77C3">
            <w:pPr>
              <w:jc w:val="both"/>
              <w:rPr>
                <w:rFonts w:ascii="Times New Roman" w:hAnsi="Times New Roman"/>
              </w:rPr>
            </w:pPr>
            <w:r>
              <w:rPr>
                <w:rFonts w:ascii="Times New Roman" w:eastAsia="Century Gothic" w:hAnsi="Times New Roman"/>
              </w:rPr>
              <w:t xml:space="preserve">Construction de terrains, d’équipements sportifs, de complexes sportifs et de </w:t>
            </w:r>
            <w:r>
              <w:rPr>
                <w:rFonts w:ascii="Times New Roman" w:eastAsia="Century Gothic" w:hAnsi="Times New Roman"/>
              </w:rPr>
              <w:lastRenderedPageBreak/>
              <w:t xml:space="preserve">berges, conçus pour répondre aux normes nécessaires à la pratique sportive accessible. </w:t>
            </w:r>
          </w:p>
        </w:tc>
        <w:tc>
          <w:tcPr>
            <w:tcW w:w="3680" w:type="dxa"/>
            <w:tcBorders>
              <w:top w:val="nil"/>
              <w:left w:val="nil"/>
            </w:tcBorders>
            <w:shd w:val="clear" w:color="auto" w:fill="FBE4D5"/>
            <w:vAlign w:val="center"/>
            <w:hideMark/>
          </w:tcPr>
          <w:p w:rsidR="008D77C3" w:rsidRDefault="008D77C3">
            <w:pPr>
              <w:jc w:val="both"/>
              <w:rPr>
                <w:rFonts w:ascii="Times New Roman" w:hAnsi="Times New Roman"/>
              </w:rPr>
            </w:pPr>
            <w:r>
              <w:rPr>
                <w:rFonts w:ascii="Times New Roman" w:eastAsia="Century Gothic" w:hAnsi="Times New Roman"/>
              </w:rPr>
              <w:lastRenderedPageBreak/>
              <w:t xml:space="preserve">Promouvoir le sport pour tous et créer des espaces de vie sociale. </w:t>
            </w:r>
          </w:p>
        </w:tc>
      </w:tr>
      <w:tr w:rsidR="008D77C3" w:rsidTr="008D77C3">
        <w:tc>
          <w:tcPr>
            <w:tcW w:w="3360" w:type="dxa"/>
            <w:tcBorders>
              <w:top w:val="nil"/>
              <w:right w:val="nil"/>
            </w:tcBorders>
            <w:shd w:val="clear" w:color="auto" w:fill="E2EFD9"/>
            <w:hideMark/>
          </w:tcPr>
          <w:p w:rsidR="008D77C3" w:rsidRDefault="008D77C3">
            <w:pPr>
              <w:rPr>
                <w:rFonts w:ascii="Times New Roman" w:eastAsia="DengXian" w:hAnsi="Times New Roman"/>
              </w:rPr>
            </w:pPr>
            <w:r>
              <w:rPr>
                <w:rFonts w:ascii="Times New Roman" w:eastAsia="Century Gothic" w:hAnsi="Times New Roman"/>
                <w:b/>
              </w:rPr>
              <w:lastRenderedPageBreak/>
              <w:t xml:space="preserve"> </w:t>
            </w:r>
          </w:p>
          <w:p w:rsidR="008D77C3" w:rsidRDefault="008D77C3">
            <w:pPr>
              <w:rPr>
                <w:rFonts w:ascii="Times New Roman" w:eastAsia="DengXian" w:hAnsi="Times New Roman"/>
              </w:rPr>
            </w:pPr>
            <w:r>
              <w:rPr>
                <w:rFonts w:ascii="Times New Roman" w:eastAsia="Century Gothic" w:hAnsi="Times New Roman"/>
                <w:b/>
              </w:rPr>
              <w:t xml:space="preserve"> </w:t>
            </w:r>
          </w:p>
          <w:p w:rsidR="008D77C3" w:rsidRDefault="008D77C3">
            <w:pPr>
              <w:rPr>
                <w:rFonts w:ascii="Times New Roman" w:eastAsia="DengXian" w:hAnsi="Times New Roman"/>
              </w:rPr>
            </w:pPr>
            <w:r>
              <w:rPr>
                <w:rFonts w:ascii="Times New Roman" w:eastAsia="Century Gothic" w:hAnsi="Times New Roman"/>
                <w:b/>
              </w:rPr>
              <w:t xml:space="preserve"> </w:t>
            </w:r>
          </w:p>
          <w:p w:rsidR="008D77C3" w:rsidRDefault="008D77C3">
            <w:pPr>
              <w:rPr>
                <w:rFonts w:ascii="Times New Roman" w:eastAsia="DengXian" w:hAnsi="Times New Roman"/>
              </w:rPr>
            </w:pPr>
            <w:r>
              <w:rPr>
                <w:rFonts w:ascii="Times New Roman" w:eastAsia="Century Gothic" w:hAnsi="Times New Roman"/>
                <w:b/>
              </w:rPr>
              <w:t>Espaces Verts Intégrés</w:t>
            </w:r>
            <w:r>
              <w:rPr>
                <w:rFonts w:ascii="Times New Roman" w:eastAsia="Century Gothic" w:hAnsi="Times New Roman"/>
              </w:rPr>
              <w:t xml:space="preserve"> </w:t>
            </w:r>
          </w:p>
        </w:tc>
        <w:tc>
          <w:tcPr>
            <w:tcW w:w="420" w:type="dxa"/>
            <w:tcBorders>
              <w:top w:val="nil"/>
              <w:left w:val="nil"/>
            </w:tcBorders>
            <w:shd w:val="clear" w:color="auto" w:fill="E2EFD9"/>
          </w:tcPr>
          <w:p w:rsidR="008D77C3" w:rsidRDefault="008D77C3">
            <w:pPr>
              <w:rPr>
                <w:rFonts w:ascii="Times New Roman" w:eastAsia="DengXian" w:hAnsi="Times New Roman"/>
              </w:rPr>
            </w:pPr>
          </w:p>
        </w:tc>
        <w:tc>
          <w:tcPr>
            <w:tcW w:w="3720" w:type="dxa"/>
            <w:tcBorders>
              <w:top w:val="nil"/>
              <w:left w:val="nil"/>
            </w:tcBorders>
            <w:shd w:val="clear" w:color="auto" w:fill="E7E6E6"/>
            <w:hideMark/>
          </w:tcPr>
          <w:p w:rsidR="008D77C3" w:rsidRDefault="008D77C3">
            <w:pPr>
              <w:jc w:val="both"/>
              <w:rPr>
                <w:rFonts w:ascii="Times New Roman" w:hAnsi="Times New Roman"/>
              </w:rPr>
            </w:pPr>
            <w:r>
              <w:rPr>
                <w:rFonts w:ascii="Times New Roman" w:eastAsia="Century Gothic" w:hAnsi="Times New Roman"/>
              </w:rPr>
              <w:t xml:space="preserve">Développement de lieux de culture et de parcs d'attraction. Les centres incluront des espaces verts intégrant des aménagements propices à l'activité physique et à la promenade des familles. </w:t>
            </w:r>
          </w:p>
        </w:tc>
        <w:tc>
          <w:tcPr>
            <w:tcW w:w="3680" w:type="dxa"/>
            <w:tcBorders>
              <w:top w:val="nil"/>
              <w:left w:val="nil"/>
            </w:tcBorders>
            <w:shd w:val="clear" w:color="auto" w:fill="FBE4D5"/>
            <w:hideMark/>
          </w:tcPr>
          <w:p w:rsidR="008D77C3" w:rsidRDefault="008D77C3">
            <w:pPr>
              <w:jc w:val="both"/>
              <w:rPr>
                <w:rFonts w:ascii="Times New Roman" w:hAnsi="Times New Roman"/>
              </w:rPr>
            </w:pPr>
            <w:r>
              <w:rPr>
                <w:rFonts w:ascii="Times New Roman" w:eastAsia="Century Gothic" w:hAnsi="Times New Roman"/>
              </w:rPr>
              <w:t xml:space="preserve">Améliorer la santé mentale et physique de la population. </w:t>
            </w:r>
          </w:p>
        </w:tc>
      </w:tr>
      <w:tr w:rsidR="008D77C3" w:rsidTr="008D77C3">
        <w:tc>
          <w:tcPr>
            <w:tcW w:w="3360" w:type="dxa"/>
            <w:tcBorders>
              <w:top w:val="nil"/>
              <w:right w:val="nil"/>
            </w:tcBorders>
            <w:shd w:val="clear" w:color="auto" w:fill="E2EFD9"/>
            <w:hideMark/>
          </w:tcPr>
          <w:p w:rsidR="008D77C3" w:rsidRDefault="008D77C3">
            <w:pPr>
              <w:rPr>
                <w:rFonts w:ascii="Times New Roman" w:eastAsia="DengXian" w:hAnsi="Times New Roman"/>
              </w:rPr>
            </w:pPr>
            <w:r>
              <w:rPr>
                <w:rFonts w:ascii="Times New Roman" w:eastAsia="Century Gothic" w:hAnsi="Times New Roman"/>
                <w:b/>
              </w:rPr>
              <w:t xml:space="preserve"> </w:t>
            </w:r>
          </w:p>
          <w:p w:rsidR="008D77C3" w:rsidRDefault="008D77C3">
            <w:pPr>
              <w:rPr>
                <w:rFonts w:ascii="Times New Roman" w:eastAsia="DengXian" w:hAnsi="Times New Roman"/>
              </w:rPr>
            </w:pPr>
            <w:r>
              <w:rPr>
                <w:rFonts w:ascii="Times New Roman" w:eastAsia="Century Gothic" w:hAnsi="Times New Roman"/>
                <w:b/>
              </w:rPr>
              <w:t xml:space="preserve"> </w:t>
            </w:r>
          </w:p>
          <w:p w:rsidR="008D77C3" w:rsidRDefault="008D77C3">
            <w:pPr>
              <w:tabs>
                <w:tab w:val="center" w:pos="1305"/>
                <w:tab w:val="center" w:pos="2145"/>
                <w:tab w:val="center" w:pos="30000"/>
                <w:tab w:val="center" w:pos="31680"/>
              </w:tabs>
              <w:rPr>
                <w:rFonts w:ascii="Times New Roman" w:hAnsi="Times New Roman"/>
              </w:rPr>
            </w:pPr>
            <w:r>
              <w:rPr>
                <w:rFonts w:ascii="Times New Roman" w:eastAsia="Century Gothic" w:hAnsi="Times New Roman"/>
                <w:b/>
              </w:rPr>
              <w:t xml:space="preserve">Salles </w:t>
            </w:r>
            <w:r>
              <w:rPr>
                <w:rFonts w:ascii="Times New Roman" w:eastAsia="Century Gothic" w:hAnsi="Times New Roman"/>
                <w:b/>
              </w:rPr>
              <w:tab/>
              <w:t xml:space="preserve">Culturelles </w:t>
            </w:r>
            <w:r>
              <w:rPr>
                <w:rFonts w:ascii="Times New Roman" w:eastAsia="Century Gothic" w:hAnsi="Times New Roman"/>
                <w:b/>
              </w:rPr>
              <w:tab/>
              <w:t xml:space="preserve">et </w:t>
            </w:r>
          </w:p>
          <w:p w:rsidR="008D77C3" w:rsidRDefault="008D77C3">
            <w:pPr>
              <w:rPr>
                <w:rFonts w:ascii="Times New Roman" w:eastAsia="DengXian" w:hAnsi="Times New Roman"/>
              </w:rPr>
            </w:pPr>
            <w:r>
              <w:rPr>
                <w:rFonts w:ascii="Times New Roman" w:eastAsia="Century Gothic" w:hAnsi="Times New Roman"/>
                <w:b/>
              </w:rPr>
              <w:t xml:space="preserve">Rencontres </w:t>
            </w:r>
          </w:p>
        </w:tc>
        <w:tc>
          <w:tcPr>
            <w:tcW w:w="420" w:type="dxa"/>
            <w:tcBorders>
              <w:top w:val="nil"/>
              <w:left w:val="nil"/>
            </w:tcBorders>
            <w:shd w:val="clear" w:color="auto" w:fill="E2EFD9"/>
            <w:hideMark/>
          </w:tcPr>
          <w:p w:rsidR="008D77C3" w:rsidRDefault="008D77C3">
            <w:pPr>
              <w:jc w:val="both"/>
              <w:rPr>
                <w:rFonts w:ascii="Times New Roman" w:hAnsi="Times New Roman"/>
              </w:rPr>
            </w:pPr>
            <w:r>
              <w:rPr>
                <w:rFonts w:ascii="Times New Roman" w:eastAsia="Century Gothic" w:hAnsi="Times New Roman"/>
                <w:b/>
              </w:rPr>
              <w:t xml:space="preserve">de </w:t>
            </w:r>
          </w:p>
        </w:tc>
        <w:tc>
          <w:tcPr>
            <w:tcW w:w="3720" w:type="dxa"/>
            <w:tcBorders>
              <w:top w:val="nil"/>
              <w:left w:val="nil"/>
            </w:tcBorders>
            <w:shd w:val="clear" w:color="auto" w:fill="E7E6E6"/>
            <w:hideMark/>
          </w:tcPr>
          <w:p w:rsidR="008D77C3" w:rsidRDefault="008D77C3">
            <w:pPr>
              <w:jc w:val="both"/>
              <w:rPr>
                <w:rFonts w:ascii="Times New Roman" w:hAnsi="Times New Roman"/>
              </w:rPr>
            </w:pPr>
            <w:r>
              <w:rPr>
                <w:rFonts w:ascii="Times New Roman" w:eastAsia="Century Gothic" w:hAnsi="Times New Roman"/>
              </w:rPr>
              <w:t xml:space="preserve">Création de lieux de retrouvailles (maisons de quartiers) pour permettre aux jeunes de se détendre en famille ou entre amis et favoriser la cohésion sociale. </w:t>
            </w:r>
          </w:p>
        </w:tc>
        <w:tc>
          <w:tcPr>
            <w:tcW w:w="3680" w:type="dxa"/>
            <w:tcBorders>
              <w:top w:val="nil"/>
              <w:left w:val="nil"/>
            </w:tcBorders>
            <w:shd w:val="clear" w:color="auto" w:fill="FBE4D5"/>
            <w:hideMark/>
          </w:tcPr>
          <w:p w:rsidR="008D77C3" w:rsidRDefault="008D77C3">
            <w:pPr>
              <w:jc w:val="both"/>
              <w:rPr>
                <w:rFonts w:ascii="Times New Roman" w:hAnsi="Times New Roman"/>
              </w:rPr>
            </w:pPr>
            <w:r>
              <w:rPr>
                <w:rFonts w:ascii="Times New Roman" w:eastAsia="Century Gothic" w:hAnsi="Times New Roman"/>
              </w:rPr>
              <w:t xml:space="preserve">Lutter contre l'isolement et renforcer la cohésion communautaire. </w:t>
            </w:r>
          </w:p>
        </w:tc>
      </w:tr>
    </w:tbl>
    <w:p w:rsidR="008D77C3" w:rsidRDefault="008D77C3" w:rsidP="008D77C3">
      <w:pPr>
        <w:pStyle w:val="Titre2"/>
        <w:rPr>
          <w:rFonts w:ascii="Times New Roman" w:eastAsia="Century Gothic" w:hAnsi="Times New Roman"/>
          <w:b/>
          <w:bCs/>
          <w:color w:val="000000"/>
          <w:sz w:val="36"/>
          <w:szCs w:val="36"/>
        </w:rPr>
      </w:pPr>
      <w:r>
        <w:rPr>
          <w:rFonts w:ascii="Times New Roman" w:hAnsi="Times New Roman"/>
          <w:b/>
          <w:bCs/>
          <w:sz w:val="36"/>
          <w:szCs w:val="36"/>
        </w:rPr>
        <w:t xml:space="preserve">IV. GOUVERNANCE ET PÉRENNITÉ DU PROJET </w:t>
      </w:r>
    </w:p>
    <w:p w:rsidR="008D77C3" w:rsidRDefault="008D77C3" w:rsidP="008D77C3">
      <w:pPr>
        <w:rPr>
          <w:rFonts w:ascii="Times New Roman" w:eastAsia="Calibri" w:hAnsi="Times New Roman"/>
        </w:rPr>
      </w:pPr>
      <w:r>
        <w:rPr>
          <w:rFonts w:ascii="Times New Roman" w:eastAsia="Century Gothic" w:hAnsi="Times New Roman"/>
        </w:rPr>
        <w:t xml:space="preserve">Pour rassurer nos partenaires sur la durabilité des investissements, une structure de gestion claire est proposée pour éviter l'ambiguïté des responsabilités qui favorise actuellement la dégradation des équipements existants. </w:t>
      </w:r>
    </w:p>
    <w:p w:rsidR="008D77C3" w:rsidRDefault="008D77C3" w:rsidP="008D77C3">
      <w:pPr>
        <w:numPr>
          <w:ilvl w:val="0"/>
          <w:numId w:val="5"/>
        </w:numPr>
        <w:spacing w:line="254" w:lineRule="auto"/>
        <w:jc w:val="both"/>
        <w:rPr>
          <w:rFonts w:ascii="Times New Roman" w:eastAsia="Calibri" w:hAnsi="Times New Roman"/>
        </w:rPr>
      </w:pPr>
      <w:r>
        <w:rPr>
          <w:rFonts w:ascii="Times New Roman" w:eastAsia="Century Gothic" w:hAnsi="Times New Roman"/>
          <w:b/>
        </w:rPr>
        <w:t xml:space="preserve">Modalités de Gestion </w:t>
      </w:r>
    </w:p>
    <w:p w:rsidR="008D77C3" w:rsidRDefault="008D77C3" w:rsidP="008D77C3">
      <w:pPr>
        <w:spacing w:line="247" w:lineRule="auto"/>
        <w:jc w:val="both"/>
        <w:rPr>
          <w:rFonts w:ascii="Times New Roman" w:eastAsia="Calibri" w:hAnsi="Times New Roman"/>
        </w:rPr>
      </w:pPr>
      <w:r>
        <w:rPr>
          <w:rFonts w:ascii="Times New Roman" w:eastAsia="Century Gothic" w:hAnsi="Times New Roman"/>
        </w:rPr>
        <w:t xml:space="preserve">La pérennité de ces nouveaux équipements de proximité reposera sur une gestion efficace à travers la Direction Générale de Gestion des Structures Sportives, de Jeunesse et des Loisirs du Ministère de la Jeunesse et des Sports. </w:t>
      </w:r>
    </w:p>
    <w:p w:rsidR="008D77C3" w:rsidRDefault="008D77C3" w:rsidP="008D77C3">
      <w:pPr>
        <w:rPr>
          <w:rFonts w:ascii="Times New Roman" w:eastAsia="Calibri" w:hAnsi="Times New Roman"/>
        </w:rPr>
      </w:pPr>
      <w:r>
        <w:rPr>
          <w:rFonts w:ascii="Times New Roman" w:eastAsia="Century Gothic" w:hAnsi="Times New Roman"/>
        </w:rPr>
        <w:t xml:space="preserve"> </w:t>
      </w:r>
    </w:p>
    <w:p w:rsidR="008D77C3" w:rsidRDefault="008D77C3" w:rsidP="008D77C3">
      <w:pPr>
        <w:numPr>
          <w:ilvl w:val="0"/>
          <w:numId w:val="5"/>
        </w:numPr>
        <w:spacing w:line="254" w:lineRule="auto"/>
        <w:jc w:val="both"/>
        <w:rPr>
          <w:rFonts w:ascii="Times New Roman" w:eastAsia="Calibri" w:hAnsi="Times New Roman"/>
        </w:rPr>
      </w:pPr>
      <w:r>
        <w:rPr>
          <w:rFonts w:ascii="Times New Roman" w:eastAsia="Century Gothic" w:hAnsi="Times New Roman"/>
          <w:b/>
        </w:rPr>
        <w:t xml:space="preserve">Rôle des Collectivités Locales </w:t>
      </w:r>
    </w:p>
    <w:p w:rsidR="008D77C3" w:rsidRDefault="008D77C3" w:rsidP="008D77C3">
      <w:pPr>
        <w:spacing w:line="247" w:lineRule="auto"/>
        <w:jc w:val="both"/>
        <w:rPr>
          <w:rFonts w:ascii="Times New Roman" w:eastAsia="Calibri" w:hAnsi="Times New Roman"/>
        </w:rPr>
      </w:pPr>
      <w:r>
        <w:rPr>
          <w:rFonts w:ascii="Times New Roman" w:eastAsia="Century Gothic" w:hAnsi="Times New Roman"/>
        </w:rPr>
        <w:t xml:space="preserve">Il est essentiel d'intégrer les collectivités locales dans l'animation et l'entretien des centres, puisque cette compétence leur incombe souvent. Il est ainsi recommandé de créer des sections ou services sportifs dédiés au sein des mairies centrales et d'arrondissements pour assurer l’encadrement de l’animation et de l’entretien des équipements de proximité. Cette approche garantira un entretien rigoureux et la continuité des activités culturelles et sportives des jeunes </w:t>
      </w:r>
    </w:p>
    <w:p w:rsidR="008D77C3" w:rsidRDefault="008D77C3" w:rsidP="008D77C3">
      <w:pPr>
        <w:rPr>
          <w:rFonts w:ascii="Times New Roman" w:eastAsia="Calibri" w:hAnsi="Times New Roman"/>
        </w:rPr>
      </w:pPr>
      <w:r>
        <w:rPr>
          <w:rFonts w:ascii="Times New Roman" w:eastAsia="Century Gothic" w:hAnsi="Times New Roman"/>
          <w:b/>
        </w:rPr>
        <w:t xml:space="preserve"> </w:t>
      </w:r>
    </w:p>
    <w:p w:rsidR="008D77C3" w:rsidRDefault="008D77C3" w:rsidP="008D77C3">
      <w:pPr>
        <w:pStyle w:val="Titre2"/>
        <w:rPr>
          <w:rFonts w:ascii="Times New Roman" w:hAnsi="Times New Roman"/>
          <w:b/>
          <w:bCs/>
          <w:sz w:val="36"/>
          <w:szCs w:val="36"/>
        </w:rPr>
      </w:pPr>
      <w:r>
        <w:rPr>
          <w:rFonts w:ascii="Times New Roman" w:hAnsi="Times New Roman"/>
          <w:b/>
          <w:bCs/>
          <w:sz w:val="36"/>
          <w:szCs w:val="36"/>
        </w:rPr>
        <w:lastRenderedPageBreak/>
        <w:t xml:space="preserve">V. CONCLUSION ET APPEL AU PARTENARIAT </w:t>
      </w:r>
    </w:p>
    <w:p w:rsidR="008D77C3" w:rsidRDefault="008D77C3" w:rsidP="008D77C3">
      <w:pPr>
        <w:spacing w:line="247" w:lineRule="auto"/>
        <w:jc w:val="both"/>
        <w:rPr>
          <w:rFonts w:ascii="Times New Roman" w:eastAsia="Calibri" w:hAnsi="Times New Roman"/>
        </w:rPr>
      </w:pPr>
      <w:r>
        <w:rPr>
          <w:rFonts w:ascii="Times New Roman" w:eastAsia="Century Gothic" w:hAnsi="Times New Roman"/>
        </w:rPr>
        <w:t xml:space="preserve">Le Tchad manque cruellement de centres d'attractions et de loisirs, et cette lacune a des conséquences directes sur la jeunesse, souvent sujette à la délinquance et à la désorientation. Ce projet représente un levier crucial pour le développement des infrastructures, l'amélioration de l'offre de loisirs et l'atteinte des objectifs nationaux d’inclusion sociale. </w:t>
      </w:r>
    </w:p>
    <w:p w:rsidR="008D77C3" w:rsidRDefault="008D77C3" w:rsidP="008D77C3">
      <w:pPr>
        <w:spacing w:line="247" w:lineRule="auto"/>
        <w:jc w:val="both"/>
        <w:rPr>
          <w:rFonts w:ascii="Times New Roman" w:eastAsia="Century Gothic" w:hAnsi="Times New Roman"/>
        </w:rPr>
      </w:pPr>
      <w:r>
        <w:rPr>
          <w:rFonts w:ascii="Times New Roman" w:eastAsia="Century Gothic" w:hAnsi="Times New Roman"/>
        </w:rPr>
        <w:t xml:space="preserve">Nous sollicitons l'appui financier et technique des ambassades de la Turquie, Arabie Saoudite, Algérie, Russie, France, et de la Banque Islamique de Développement, afin de transformer cette vision gouvernementale en réalité structurelle, en offrant un avenir plus sain et plus structurant à la jeunesse de N'Djamena. Votre engagement dans ce projet d'intervention proactive est un investissement direct dans la stabilité sociale, l'éducation et la paix au Tchad. </w:t>
      </w:r>
    </w:p>
    <w:p w:rsidR="008D77C3" w:rsidRDefault="008D77C3" w:rsidP="008D77C3">
      <w:pPr>
        <w:spacing w:line="247" w:lineRule="auto"/>
        <w:jc w:val="both"/>
        <w:rPr>
          <w:rFonts w:ascii="Times New Roman" w:eastAsia="Century Gothic" w:hAnsi="Times New Roman"/>
        </w:rPr>
      </w:pPr>
      <w:r>
        <w:rPr>
          <w:rFonts w:ascii="Times New Roman" w:eastAsia="Century Gothic" w:hAnsi="Times New Roman"/>
        </w:rPr>
        <w:t xml:space="preserve"> </w:t>
      </w:r>
    </w:p>
    <w:p w:rsidR="001B7F71" w:rsidRDefault="001B7F71"/>
    <w:sectPr w:rsidR="001B7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等线 Light">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54B37"/>
    <w:multiLevelType w:val="multilevel"/>
    <w:tmpl w:val="8C029B5E"/>
    <w:lvl w:ilvl="0">
      <w:start w:val="1"/>
      <w:numFmt w:val="upperRoman"/>
      <w:lvlText w:val="%1-"/>
      <w:lvlJc w:val="left"/>
      <w:pPr>
        <w:ind w:left="720" w:hanging="360"/>
      </w:pPr>
      <w:rPr>
        <w:rFonts w:ascii="Calibri" w:hAnsi="Calibri" w:cs="Calibri"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17292F28"/>
    <w:multiLevelType w:val="multilevel"/>
    <w:tmpl w:val="B67ADCC6"/>
    <w:lvl w:ilvl="0">
      <w:start w:val="1"/>
      <w:numFmt w:val="decimal"/>
      <w:lvlText w:val="%1."/>
      <w:lvlJc w:val="left"/>
      <w:pPr>
        <w:ind w:left="720" w:hanging="360"/>
      </w:pPr>
      <w:rPr>
        <w:rFonts w:ascii="Century Gothic" w:hAnsi="Century Gothic" w:hint="default"/>
        <w:b/>
        <w:bCs/>
        <w:i w:val="0"/>
        <w:color w:val="000000"/>
        <w:u w:color="000000"/>
      </w:rPr>
    </w:lvl>
    <w:lvl w:ilvl="1">
      <w:start w:val="1"/>
      <w:numFmt w:val="lowerLetter"/>
      <w:lvlText w:val="%2"/>
      <w:lvlJc w:val="left"/>
      <w:pPr>
        <w:ind w:left="1440" w:hanging="360"/>
      </w:pPr>
      <w:rPr>
        <w:rFonts w:ascii="Century Gothic" w:hAnsi="Century Gothic" w:hint="default"/>
        <w:b/>
        <w:bCs/>
        <w:i w:val="0"/>
        <w:color w:val="000000"/>
        <w:u w:color="000000"/>
      </w:rPr>
    </w:lvl>
    <w:lvl w:ilvl="2">
      <w:start w:val="1"/>
      <w:numFmt w:val="lowerRoman"/>
      <w:lvlText w:val="%3"/>
      <w:lvlJc w:val="left"/>
      <w:pPr>
        <w:ind w:left="2160" w:hanging="360"/>
      </w:pPr>
      <w:rPr>
        <w:rFonts w:ascii="Century Gothic" w:hAnsi="Century Gothic" w:hint="default"/>
        <w:b/>
        <w:bCs/>
        <w:i w:val="0"/>
        <w:color w:val="000000"/>
        <w:u w:color="000000"/>
      </w:rPr>
    </w:lvl>
    <w:lvl w:ilvl="3">
      <w:start w:val="1"/>
      <w:numFmt w:val="decimal"/>
      <w:lvlText w:val="%4"/>
      <w:lvlJc w:val="left"/>
      <w:pPr>
        <w:ind w:left="2880" w:hanging="360"/>
      </w:pPr>
      <w:rPr>
        <w:rFonts w:ascii="Century Gothic" w:hAnsi="Century Gothic" w:hint="default"/>
        <w:b/>
        <w:bCs/>
        <w:i w:val="0"/>
        <w:color w:val="000000"/>
        <w:u w:color="000000"/>
      </w:rPr>
    </w:lvl>
    <w:lvl w:ilvl="4">
      <w:start w:val="1"/>
      <w:numFmt w:val="lowerLetter"/>
      <w:lvlText w:val="%5"/>
      <w:lvlJc w:val="left"/>
      <w:pPr>
        <w:ind w:left="3600" w:hanging="360"/>
      </w:pPr>
      <w:rPr>
        <w:rFonts w:ascii="Century Gothic" w:hAnsi="Century Gothic" w:hint="default"/>
        <w:b/>
        <w:bCs/>
        <w:i w:val="0"/>
        <w:color w:val="000000"/>
        <w:u w:color="000000"/>
      </w:rPr>
    </w:lvl>
    <w:lvl w:ilvl="5">
      <w:start w:val="1"/>
      <w:numFmt w:val="lowerRoman"/>
      <w:lvlText w:val="%6"/>
      <w:lvlJc w:val="left"/>
      <w:pPr>
        <w:ind w:left="4320" w:hanging="360"/>
      </w:pPr>
      <w:rPr>
        <w:rFonts w:ascii="Century Gothic" w:hAnsi="Century Gothic" w:hint="default"/>
        <w:b/>
        <w:bCs/>
        <w:i w:val="0"/>
        <w:color w:val="000000"/>
        <w:u w:color="000000"/>
      </w:rPr>
    </w:lvl>
    <w:lvl w:ilvl="6">
      <w:start w:val="1"/>
      <w:numFmt w:val="decimal"/>
      <w:lvlText w:val="%7"/>
      <w:lvlJc w:val="left"/>
      <w:pPr>
        <w:ind w:left="5040" w:hanging="360"/>
      </w:pPr>
      <w:rPr>
        <w:rFonts w:ascii="Century Gothic" w:hAnsi="Century Gothic" w:hint="default"/>
        <w:b/>
        <w:bCs/>
        <w:i w:val="0"/>
        <w:color w:val="000000"/>
        <w:u w:color="000000"/>
      </w:rPr>
    </w:lvl>
    <w:lvl w:ilvl="7">
      <w:start w:val="1"/>
      <w:numFmt w:val="lowerLetter"/>
      <w:lvlText w:val="%8"/>
      <w:lvlJc w:val="left"/>
      <w:pPr>
        <w:ind w:left="5760" w:hanging="360"/>
      </w:pPr>
      <w:rPr>
        <w:rFonts w:ascii="Century Gothic" w:hAnsi="Century Gothic" w:hint="default"/>
        <w:b/>
        <w:bCs/>
        <w:i w:val="0"/>
        <w:color w:val="000000"/>
        <w:u w:color="000000"/>
      </w:rPr>
    </w:lvl>
    <w:lvl w:ilvl="8">
      <w:start w:val="1"/>
      <w:numFmt w:val="lowerRoman"/>
      <w:lvlText w:val="%9"/>
      <w:lvlJc w:val="left"/>
      <w:pPr>
        <w:ind w:left="6480" w:hanging="360"/>
      </w:pPr>
      <w:rPr>
        <w:rFonts w:ascii="Century Gothic" w:hAnsi="Century Gothic" w:hint="default"/>
        <w:b/>
        <w:bCs/>
        <w:i w:val="0"/>
        <w:color w:val="000000"/>
        <w:u w:color="000000"/>
      </w:rPr>
    </w:lvl>
  </w:abstractNum>
  <w:abstractNum w:abstractNumId="2" w15:restartNumberingAfterBreak="0">
    <w:nsid w:val="6AAA44B1"/>
    <w:multiLevelType w:val="multilevel"/>
    <w:tmpl w:val="09BCEC5A"/>
    <w:lvl w:ilvl="0">
      <w:start w:val="1"/>
      <w:numFmt w:val="decimal"/>
      <w:lvlText w:val="%1."/>
      <w:lvlJc w:val="left"/>
      <w:pPr>
        <w:ind w:left="720" w:hanging="360"/>
      </w:pPr>
      <w:rPr>
        <w:rFonts w:ascii="Century Gothic" w:hAnsi="Century Gothic" w:hint="default"/>
        <w:b/>
        <w:bCs/>
        <w:i w:val="0"/>
        <w:color w:val="000000"/>
        <w:u w:color="000000"/>
      </w:rPr>
    </w:lvl>
    <w:lvl w:ilvl="1">
      <w:start w:val="1"/>
      <w:numFmt w:val="lowerLetter"/>
      <w:lvlText w:val="%2"/>
      <w:lvlJc w:val="left"/>
      <w:pPr>
        <w:ind w:left="1440" w:hanging="360"/>
      </w:pPr>
      <w:rPr>
        <w:rFonts w:ascii="Century Gothic" w:hAnsi="Century Gothic" w:hint="default"/>
        <w:b/>
        <w:bCs/>
        <w:i w:val="0"/>
        <w:color w:val="000000"/>
        <w:u w:color="000000"/>
      </w:rPr>
    </w:lvl>
    <w:lvl w:ilvl="2">
      <w:start w:val="1"/>
      <w:numFmt w:val="lowerRoman"/>
      <w:lvlText w:val="%3"/>
      <w:lvlJc w:val="left"/>
      <w:pPr>
        <w:ind w:left="2160" w:hanging="360"/>
      </w:pPr>
      <w:rPr>
        <w:rFonts w:ascii="Century Gothic" w:hAnsi="Century Gothic" w:hint="default"/>
        <w:b/>
        <w:bCs/>
        <w:i w:val="0"/>
        <w:color w:val="000000"/>
        <w:u w:color="000000"/>
      </w:rPr>
    </w:lvl>
    <w:lvl w:ilvl="3">
      <w:start w:val="1"/>
      <w:numFmt w:val="decimal"/>
      <w:lvlText w:val="%4"/>
      <w:lvlJc w:val="left"/>
      <w:pPr>
        <w:ind w:left="2880" w:hanging="360"/>
      </w:pPr>
      <w:rPr>
        <w:rFonts w:ascii="Century Gothic" w:hAnsi="Century Gothic" w:hint="default"/>
        <w:b/>
        <w:bCs/>
        <w:i w:val="0"/>
        <w:color w:val="000000"/>
        <w:u w:color="000000"/>
      </w:rPr>
    </w:lvl>
    <w:lvl w:ilvl="4">
      <w:start w:val="1"/>
      <w:numFmt w:val="lowerLetter"/>
      <w:lvlText w:val="%5"/>
      <w:lvlJc w:val="left"/>
      <w:pPr>
        <w:ind w:left="3600" w:hanging="360"/>
      </w:pPr>
      <w:rPr>
        <w:rFonts w:ascii="Century Gothic" w:hAnsi="Century Gothic" w:hint="default"/>
        <w:b/>
        <w:bCs/>
        <w:i w:val="0"/>
        <w:color w:val="000000"/>
        <w:u w:color="000000"/>
      </w:rPr>
    </w:lvl>
    <w:lvl w:ilvl="5">
      <w:start w:val="1"/>
      <w:numFmt w:val="lowerRoman"/>
      <w:lvlText w:val="%6"/>
      <w:lvlJc w:val="left"/>
      <w:pPr>
        <w:ind w:left="4320" w:hanging="360"/>
      </w:pPr>
      <w:rPr>
        <w:rFonts w:ascii="Century Gothic" w:hAnsi="Century Gothic" w:hint="default"/>
        <w:b/>
        <w:bCs/>
        <w:i w:val="0"/>
        <w:color w:val="000000"/>
        <w:u w:color="000000"/>
      </w:rPr>
    </w:lvl>
    <w:lvl w:ilvl="6">
      <w:start w:val="1"/>
      <w:numFmt w:val="decimal"/>
      <w:lvlText w:val="%7"/>
      <w:lvlJc w:val="left"/>
      <w:pPr>
        <w:ind w:left="5040" w:hanging="360"/>
      </w:pPr>
      <w:rPr>
        <w:rFonts w:ascii="Century Gothic" w:hAnsi="Century Gothic" w:hint="default"/>
        <w:b/>
        <w:bCs/>
        <w:i w:val="0"/>
        <w:color w:val="000000"/>
        <w:u w:color="000000"/>
      </w:rPr>
    </w:lvl>
    <w:lvl w:ilvl="7">
      <w:start w:val="1"/>
      <w:numFmt w:val="lowerLetter"/>
      <w:lvlText w:val="%8"/>
      <w:lvlJc w:val="left"/>
      <w:pPr>
        <w:ind w:left="5760" w:hanging="360"/>
      </w:pPr>
      <w:rPr>
        <w:rFonts w:ascii="Century Gothic" w:hAnsi="Century Gothic" w:hint="default"/>
        <w:b/>
        <w:bCs/>
        <w:i w:val="0"/>
        <w:color w:val="000000"/>
        <w:u w:color="000000"/>
      </w:rPr>
    </w:lvl>
    <w:lvl w:ilvl="8">
      <w:start w:val="1"/>
      <w:numFmt w:val="lowerRoman"/>
      <w:lvlText w:val="%9"/>
      <w:lvlJc w:val="left"/>
      <w:pPr>
        <w:ind w:left="6480" w:hanging="360"/>
      </w:pPr>
      <w:rPr>
        <w:rFonts w:ascii="Century Gothic" w:hAnsi="Century Gothic" w:hint="default"/>
        <w:b/>
        <w:bCs/>
        <w:i w:val="0"/>
        <w:color w:val="000000"/>
        <w:u w:color="000000"/>
      </w:rPr>
    </w:lvl>
  </w:abstractNum>
  <w:abstractNum w:abstractNumId="3" w15:restartNumberingAfterBreak="0">
    <w:nsid w:val="77D21486"/>
    <w:multiLevelType w:val="multilevel"/>
    <w:tmpl w:val="1E5892B2"/>
    <w:lvl w:ilvl="0">
      <w:start w:val="1"/>
      <w:numFmt w:val="bullet"/>
      <w:lvlText w:val="-"/>
      <w:lvlJc w:val="left"/>
      <w:pPr>
        <w:ind w:left="720" w:hanging="360"/>
      </w:pPr>
      <w:rPr>
        <w:rFonts w:ascii="Century Gothic" w:hAnsi="Century Gothic" w:hint="default"/>
        <w:b/>
        <w:bCs/>
        <w:i w:val="0"/>
        <w:color w:val="000000"/>
        <w:u w:color="000000"/>
      </w:rPr>
    </w:lvl>
    <w:lvl w:ilvl="1">
      <w:start w:val="1"/>
      <w:numFmt w:val="bullet"/>
      <w:lvlText w:val="o"/>
      <w:lvlJc w:val="left"/>
      <w:pPr>
        <w:ind w:left="1440" w:hanging="360"/>
      </w:pPr>
      <w:rPr>
        <w:rFonts w:ascii="Century Gothic" w:hAnsi="Century Gothic" w:hint="default"/>
        <w:b/>
        <w:bCs/>
        <w:i w:val="0"/>
        <w:color w:val="000000"/>
        <w:u w:color="000000"/>
      </w:rPr>
    </w:lvl>
    <w:lvl w:ilvl="2">
      <w:start w:val="1"/>
      <w:numFmt w:val="bullet"/>
      <w:lvlText w:val="▪"/>
      <w:lvlJc w:val="left"/>
      <w:pPr>
        <w:ind w:left="2160" w:hanging="360"/>
      </w:pPr>
      <w:rPr>
        <w:rFonts w:ascii="Century Gothic" w:hAnsi="Century Gothic" w:hint="default"/>
        <w:b/>
        <w:bCs/>
        <w:i w:val="0"/>
        <w:color w:val="000000"/>
        <w:u w:color="000000"/>
      </w:rPr>
    </w:lvl>
    <w:lvl w:ilvl="3">
      <w:start w:val="1"/>
      <w:numFmt w:val="bullet"/>
      <w:lvlText w:val="•"/>
      <w:lvlJc w:val="left"/>
      <w:pPr>
        <w:ind w:left="2880" w:hanging="360"/>
      </w:pPr>
      <w:rPr>
        <w:rFonts w:ascii="Century Gothic" w:hAnsi="Century Gothic" w:hint="default"/>
        <w:b/>
        <w:bCs/>
        <w:i w:val="0"/>
        <w:color w:val="000000"/>
        <w:u w:color="000000"/>
      </w:rPr>
    </w:lvl>
    <w:lvl w:ilvl="4">
      <w:start w:val="1"/>
      <w:numFmt w:val="bullet"/>
      <w:lvlText w:val="o"/>
      <w:lvlJc w:val="left"/>
      <w:pPr>
        <w:ind w:left="3600" w:hanging="360"/>
      </w:pPr>
      <w:rPr>
        <w:rFonts w:ascii="Century Gothic" w:hAnsi="Century Gothic" w:hint="default"/>
        <w:b/>
        <w:bCs/>
        <w:i w:val="0"/>
        <w:color w:val="000000"/>
        <w:u w:color="000000"/>
      </w:rPr>
    </w:lvl>
    <w:lvl w:ilvl="5">
      <w:start w:val="1"/>
      <w:numFmt w:val="bullet"/>
      <w:lvlText w:val="▪"/>
      <w:lvlJc w:val="left"/>
      <w:pPr>
        <w:ind w:left="4320" w:hanging="360"/>
      </w:pPr>
      <w:rPr>
        <w:rFonts w:ascii="Century Gothic" w:hAnsi="Century Gothic" w:hint="default"/>
        <w:b/>
        <w:bCs/>
        <w:i w:val="0"/>
        <w:color w:val="000000"/>
        <w:u w:color="000000"/>
      </w:rPr>
    </w:lvl>
    <w:lvl w:ilvl="6">
      <w:start w:val="1"/>
      <w:numFmt w:val="bullet"/>
      <w:lvlText w:val="•"/>
      <w:lvlJc w:val="left"/>
      <w:pPr>
        <w:ind w:left="5040" w:hanging="360"/>
      </w:pPr>
      <w:rPr>
        <w:rFonts w:ascii="Century Gothic" w:hAnsi="Century Gothic" w:hint="default"/>
        <w:b/>
        <w:bCs/>
        <w:i w:val="0"/>
        <w:color w:val="000000"/>
        <w:u w:color="000000"/>
      </w:rPr>
    </w:lvl>
    <w:lvl w:ilvl="7">
      <w:start w:val="1"/>
      <w:numFmt w:val="bullet"/>
      <w:lvlText w:val="o"/>
      <w:lvlJc w:val="left"/>
      <w:pPr>
        <w:ind w:left="5760" w:hanging="360"/>
      </w:pPr>
      <w:rPr>
        <w:rFonts w:ascii="Century Gothic" w:hAnsi="Century Gothic" w:hint="default"/>
        <w:b/>
        <w:bCs/>
        <w:i w:val="0"/>
        <w:color w:val="000000"/>
        <w:u w:color="000000"/>
      </w:rPr>
    </w:lvl>
    <w:lvl w:ilvl="8">
      <w:start w:val="1"/>
      <w:numFmt w:val="bullet"/>
      <w:lvlText w:val="▪"/>
      <w:lvlJc w:val="left"/>
      <w:pPr>
        <w:ind w:left="6480" w:hanging="360"/>
      </w:pPr>
      <w:rPr>
        <w:rFonts w:ascii="Century Gothic" w:hAnsi="Century Gothic" w:hint="default"/>
        <w:b/>
        <w:bCs/>
        <w:i w:val="0"/>
        <w:color w:val="000000"/>
        <w:u w:color="000000"/>
      </w:rPr>
    </w:lvl>
  </w:abstractNum>
  <w:abstractNum w:abstractNumId="4" w15:restartNumberingAfterBreak="0">
    <w:nsid w:val="793D60D0"/>
    <w:multiLevelType w:val="multilevel"/>
    <w:tmpl w:val="D2F8057C"/>
    <w:lvl w:ilvl="0">
      <w:start w:val="1"/>
      <w:numFmt w:val="decimal"/>
      <w:lvlText w:val="%1."/>
      <w:lvlJc w:val="left"/>
      <w:pPr>
        <w:ind w:left="720" w:hanging="360"/>
      </w:pPr>
      <w:rPr>
        <w:rFonts w:ascii="Century Gothic" w:hAnsi="Century Gothic" w:hint="default"/>
        <w:b/>
        <w:bCs/>
        <w:i w:val="0"/>
        <w:color w:val="000000"/>
        <w:u w:color="000000"/>
      </w:rPr>
    </w:lvl>
    <w:lvl w:ilvl="1">
      <w:start w:val="1"/>
      <w:numFmt w:val="bullet"/>
      <w:lvlText w:val="•"/>
      <w:lvlJc w:val="left"/>
      <w:pPr>
        <w:ind w:left="1440" w:hanging="360"/>
      </w:pPr>
      <w:rPr>
        <w:rFonts w:ascii="Arial" w:hAnsi="Arial" w:cs="Aria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C3"/>
    <w:rsid w:val="001B7F71"/>
    <w:rsid w:val="008D77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20DB"/>
  <w15:chartTrackingRefBased/>
  <w15:docId w15:val="{4ACD07E1-C6AD-4B53-B84D-E04FB3A1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7C3"/>
    <w:pPr>
      <w:spacing w:before="100" w:beforeAutospacing="1" w:after="100" w:afterAutospacing="1" w:line="256" w:lineRule="auto"/>
    </w:pPr>
    <w:rPr>
      <w:rFonts w:ascii="Calibri" w:eastAsia="Times New Roman" w:hAnsi="Calibri" w:cs="Times New Roman"/>
      <w:sz w:val="24"/>
      <w:szCs w:val="24"/>
      <w:lang w:eastAsia="fr-FR"/>
    </w:rPr>
  </w:style>
  <w:style w:type="paragraph" w:styleId="Titre2">
    <w:name w:val="heading 2"/>
    <w:basedOn w:val="Normal"/>
    <w:next w:val="Normal"/>
    <w:link w:val="Titre2Car"/>
    <w:uiPriority w:val="99"/>
    <w:qFormat/>
    <w:rsid w:val="008D77C3"/>
    <w:pPr>
      <w:keepNext/>
      <w:keepLines/>
      <w:widowControl w:val="0"/>
      <w:outlineLvl w:val="1"/>
    </w:pPr>
    <w:rPr>
      <w:rFonts w:ascii="Calibri Light" w:eastAsia="等线 Light" w:hAnsi="Calibri Light"/>
      <w:color w:val="2F549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8D77C3"/>
    <w:rPr>
      <w:rFonts w:ascii="Calibri Light" w:eastAsia="等线 Light" w:hAnsi="Calibri Light" w:cs="Times New Roman"/>
      <w:color w:val="2F5496"/>
      <w:sz w:val="24"/>
      <w:szCs w:val="24"/>
      <w:lang w:eastAsia="fr-FR"/>
    </w:rPr>
  </w:style>
  <w:style w:type="paragraph" w:customStyle="1" w:styleId="ListParagraph">
    <w:name w:val="List Paragraph"/>
    <w:basedOn w:val="Normal"/>
    <w:rsid w:val="008D77C3"/>
    <w:pPr>
      <w:contextualSpacing/>
    </w:pPr>
  </w:style>
  <w:style w:type="table" w:customStyle="1" w:styleId="TableGrid">
    <w:name w:val="TableGrid"/>
    <w:basedOn w:val="TableauNormal"/>
    <w:rsid w:val="008D77C3"/>
    <w:pPr>
      <w:spacing w:after="0" w:line="240" w:lineRule="auto"/>
    </w:pPr>
    <w:rPr>
      <w:rFonts w:ascii="Times New Roman" w:eastAsia="DengXian" w:hAnsi="Times New Roman" w:cs="Times New Roman"/>
      <w:sz w:val="20"/>
      <w:szCs w:val="20"/>
      <w:lang w:eastAsia="fr-FR"/>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0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972</Words>
  <Characters>5348</Characters>
  <Application>Microsoft Office Word</Application>
  <DocSecurity>0</DocSecurity>
  <Lines>44</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DGPR</dc:creator>
  <cp:keywords/>
  <dc:description/>
  <cp:lastModifiedBy>DGPR</cp:lastModifiedBy>
  <cp:revision>1</cp:revision>
  <dcterms:created xsi:type="dcterms:W3CDTF">2026-04-29T13:49:00Z</dcterms:created>
  <dcterms:modified xsi:type="dcterms:W3CDTF">2026-04-29T13:52:00Z</dcterms:modified>
</cp:coreProperties>
</file>