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D0" w:rsidRPr="002A37D0" w:rsidRDefault="002A37D0" w:rsidP="002A37D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fr-FR"/>
        </w:rPr>
      </w:pP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RÉPUBLIQUE DU TCHAD                    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    UNITÉ – TRAVAIL – PROGRÈS </w:t>
      </w:r>
      <w:r w:rsidRPr="002A37D0">
        <w:rPr>
          <w:rFonts w:ascii="Times New Roman" w:hAnsi="Times New Roman" w:cs="Times New Roman"/>
          <w:sz w:val="16"/>
          <w:szCs w:val="16"/>
          <w:rtl/>
          <w:lang w:val="fr-FR" w:bidi="ar-EG"/>
        </w:rPr>
        <w:t xml:space="preserve">جمهورية تشاد                                                </w:t>
      </w:r>
      <w:r w:rsidRPr="002A37D0">
        <w:rPr>
          <w:rFonts w:ascii="Times New Roman" w:hAnsi="Times New Roman" w:cs="Times New Roman" w:hint="cs"/>
          <w:sz w:val="16"/>
          <w:szCs w:val="16"/>
          <w:rtl/>
          <w:lang w:val="fr-FR" w:bidi="ar-EG"/>
        </w:rPr>
        <w:t xml:space="preserve">             </w:t>
      </w:r>
    </w:p>
    <w:p w:rsidR="002A37D0" w:rsidRPr="002A37D0" w:rsidRDefault="002A37D0" w:rsidP="002A37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rtl/>
          <w:lang w:val="fr-FR"/>
        </w:rPr>
      </w:pP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9F03D2D" wp14:editId="1067E096">
            <wp:extent cx="695325" cy="85725"/>
            <wp:effectExtent l="0" t="0" r="9525" b="9525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          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وحدة – عمل – تقدم        </w:t>
      </w:r>
      <w:r w:rsidRPr="002A37D0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      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  </w:t>
      </w: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C1F8A11" wp14:editId="6100BB7D">
            <wp:extent cx="695325" cy="85725"/>
            <wp:effectExtent l="0" t="0" r="9525" b="9525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</w:t>
      </w:r>
    </w:p>
    <w:p w:rsidR="002A37D0" w:rsidRPr="002A37D0" w:rsidRDefault="002A37D0" w:rsidP="002A37D0">
      <w:pPr>
        <w:tabs>
          <w:tab w:val="left" w:pos="5548"/>
          <w:tab w:val="left" w:pos="612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4259A6D" wp14:editId="61A236A4">
            <wp:simplePos x="0" y="0"/>
            <wp:positionH relativeFrom="column">
              <wp:posOffset>2807335</wp:posOffset>
            </wp:positionH>
            <wp:positionV relativeFrom="paragraph">
              <wp:posOffset>34925</wp:posOffset>
            </wp:positionV>
            <wp:extent cx="818515" cy="788670"/>
            <wp:effectExtent l="0" t="0" r="635" b="0"/>
            <wp:wrapNone/>
            <wp:docPr id="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>PRÉSIDENCE DE LA RÉPUBLIQUE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ab/>
        <w:t xml:space="preserve">                                                  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ab/>
        <w:t xml:space="preserve">رئاسة  الجمهورية       </w:t>
      </w:r>
    </w:p>
    <w:p w:rsidR="002A37D0" w:rsidRPr="002A37D0" w:rsidRDefault="002A37D0" w:rsidP="002A37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71712E9" wp14:editId="3B3D4C9C">
            <wp:extent cx="695325" cy="85725"/>
            <wp:effectExtent l="0" t="0" r="9525" b="9525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D0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</w:t>
      </w:r>
      <w:r w:rsidRPr="002A37D0">
        <w:rPr>
          <w:rFonts w:ascii="Times New Roman" w:hAnsi="Times New Roman" w:cs="Times New Roman" w:hint="cs"/>
          <w:noProof/>
          <w:sz w:val="16"/>
          <w:szCs w:val="16"/>
          <w:rtl/>
          <w:lang w:val="fr-FR" w:eastAsia="fr-FR"/>
        </w:rPr>
        <w:t xml:space="preserve">                 </w:t>
      </w:r>
      <w:r w:rsidRPr="002A37D0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                                                                                                                                                     </w:t>
      </w: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9B0DFF4" wp14:editId="518C60F7">
            <wp:extent cx="695325" cy="857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D0" w:rsidRPr="002A37D0" w:rsidRDefault="002A37D0" w:rsidP="002A37D0">
      <w:pPr>
        <w:tabs>
          <w:tab w:val="left" w:pos="6113"/>
          <w:tab w:val="left" w:pos="670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sz w:val="16"/>
          <w:szCs w:val="16"/>
          <w:lang w:val="fr-FR"/>
        </w:rPr>
        <w:t>PRIMATURE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رئاسة الوزراء                                   </w:t>
      </w:r>
      <w:r w:rsidRPr="002A37D0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</w:t>
      </w:r>
    </w:p>
    <w:p w:rsidR="002A37D0" w:rsidRPr="002A37D0" w:rsidRDefault="002A37D0" w:rsidP="002A37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170CEF5" wp14:editId="2FC03DB5">
            <wp:extent cx="695325" cy="85725"/>
            <wp:effectExtent l="0" t="0" r="9525" b="9525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D0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</w:t>
      </w:r>
      <w:r w:rsidRPr="002A37D0">
        <w:rPr>
          <w:rFonts w:ascii="Times New Roman" w:hAnsi="Times New Roman" w:cs="Times New Roman" w:hint="cs"/>
          <w:noProof/>
          <w:sz w:val="16"/>
          <w:szCs w:val="16"/>
          <w:rtl/>
          <w:lang w:val="fr-FR" w:eastAsia="fr-FR"/>
        </w:rPr>
        <w:t xml:space="preserve">                 </w:t>
      </w:r>
      <w:r w:rsidRPr="002A37D0">
        <w:rPr>
          <w:rFonts w:ascii="Times New Roman" w:hAnsi="Times New Roman" w:cs="Times New Roman"/>
          <w:noProof/>
          <w:sz w:val="16"/>
          <w:szCs w:val="16"/>
          <w:rtl/>
          <w:lang w:val="fr-FR" w:eastAsia="fr-FR"/>
        </w:rPr>
        <w:t xml:space="preserve">                                                                                                                                                       </w:t>
      </w: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D0C2523" wp14:editId="55F9AE7E">
            <wp:extent cx="695325" cy="85725"/>
            <wp:effectExtent l="0" t="0" r="9525" b="9525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D0" w:rsidRPr="002A37D0" w:rsidRDefault="002A37D0" w:rsidP="002A37D0">
      <w:pPr>
        <w:tabs>
          <w:tab w:val="left" w:pos="4306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sz w:val="16"/>
          <w:szCs w:val="16"/>
          <w:lang w:val="fr-FR"/>
        </w:rPr>
        <w:t>MINISTÈRE DE LA JEUNESSE ET DES SPORTS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                                                    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>وزارة الشباب والرياضة</w:t>
      </w:r>
      <w:r w:rsidRPr="002A37D0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           </w:t>
      </w:r>
    </w:p>
    <w:p w:rsidR="002A37D0" w:rsidRPr="002A37D0" w:rsidRDefault="002A37D0" w:rsidP="002A37D0">
      <w:pPr>
        <w:tabs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6A7FE80" wp14:editId="55DB4F76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695325" cy="85725"/>
            <wp:effectExtent l="0" t="0" r="9525" b="9525"/>
            <wp:wrapSquare wrapText="bothSides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</w:t>
      </w: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9844F56" wp14:editId="43E47E8B">
            <wp:extent cx="695325" cy="85725"/>
            <wp:effectExtent l="0" t="0" r="9525" b="9525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br w:type="textWrapping" w:clear="all"/>
        <w:t>SECRÉTARIAT GÉNÉRAL</w:t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الأمانة العامة                                                                                                                                                </w:t>
      </w:r>
      <w:r w:rsidRPr="002A37D0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              </w:t>
      </w:r>
    </w:p>
    <w:p w:rsidR="002A37D0" w:rsidRPr="002A37D0" w:rsidRDefault="002A37D0" w:rsidP="002A37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2A37D0">
        <w:rPr>
          <w:rFonts w:ascii="Times New Roman" w:hAnsi="Times New Roman" w:cs="Times New Roman"/>
          <w:sz w:val="20"/>
          <w:szCs w:val="20"/>
          <w:rtl/>
          <w:lang w:val="fr-FR"/>
        </w:rPr>
        <w:t xml:space="preserve">                                                                                                                                    </w:t>
      </w:r>
      <w:r w:rsidRPr="002A37D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FD76E58" wp14:editId="76B0E342">
            <wp:extent cx="695325" cy="85725"/>
            <wp:effectExtent l="0" t="0" r="9525" b="9525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7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B0B4B24" wp14:editId="7B4EA12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95325" cy="85725"/>
            <wp:effectExtent l="0" t="0" r="9525" b="9525"/>
            <wp:wrapSquare wrapText="bothSides"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>DIRECTION GÉNÉRALE DES SPORTS ET DES LOISIRS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                                                  </w:t>
      </w:r>
      <w:r w:rsidRPr="002A37D0">
        <w:rPr>
          <w:rFonts w:ascii="Times New Roman" w:hAnsi="Times New Roman" w:cs="Times New Roman"/>
          <w:sz w:val="16"/>
          <w:szCs w:val="16"/>
          <w:lang w:val="fr-FR"/>
        </w:rPr>
        <w:tab/>
      </w:r>
      <w:r w:rsidRPr="002A37D0">
        <w:rPr>
          <w:rFonts w:ascii="Times New Roman" w:hAnsi="Times New Roman" w:cs="Times New Roman"/>
          <w:sz w:val="16"/>
          <w:szCs w:val="16"/>
          <w:rtl/>
          <w:lang w:val="fr-FR"/>
        </w:rPr>
        <w:t xml:space="preserve">الإدارة العامة للرياضوالترفيه        </w:t>
      </w:r>
      <w:r w:rsidRPr="002A37D0">
        <w:rPr>
          <w:rFonts w:ascii="Times New Roman" w:hAnsi="Times New Roman" w:cs="Times New Roman" w:hint="cs"/>
          <w:sz w:val="16"/>
          <w:szCs w:val="16"/>
          <w:rtl/>
          <w:lang w:val="fr-FR"/>
        </w:rPr>
        <w:t xml:space="preserve">                  </w:t>
      </w:r>
    </w:p>
    <w:p w:rsidR="002A37D0" w:rsidRPr="002A37D0" w:rsidRDefault="002A37D0" w:rsidP="002A37D0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16"/>
          <w:szCs w:val="16"/>
          <w:lang w:val="fr-FR"/>
        </w:rPr>
      </w:pPr>
      <w:r w:rsidRPr="002A37D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2887556" wp14:editId="180A31F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95325" cy="85725"/>
            <wp:effectExtent l="0" t="0" r="9525" b="9525"/>
            <wp:wrapSquare wrapText="bothSides"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7D0" w:rsidRPr="002A37D0" w:rsidRDefault="002A37D0" w:rsidP="002A37D0">
      <w:pPr>
        <w:keepNext/>
        <w:spacing w:after="0" w:line="240" w:lineRule="auto"/>
        <w:outlineLvl w:val="3"/>
        <w:rPr>
          <w:rFonts w:ascii="Times New Roman" w:hAnsi="Times New Roman" w:cs="Times New Roman"/>
          <w:sz w:val="16"/>
          <w:szCs w:val="16"/>
          <w:lang w:val="fr-FR"/>
        </w:rPr>
      </w:pPr>
      <w:r w:rsidRPr="002A37D0">
        <w:rPr>
          <w:rFonts w:ascii="Times New Roman" w:hAnsi="Times New Roman" w:cs="Times New Roman"/>
          <w:bCs/>
          <w:sz w:val="16"/>
          <w:szCs w:val="16"/>
          <w:lang w:val="fr-FR"/>
        </w:rPr>
        <w:t>DIRECTION DE L’EDUCATION PHYSIQUE, DU SPORT SCOLAIRE ET DE MASSE</w:t>
      </w:r>
    </w:p>
    <w:p w:rsidR="002A37D0" w:rsidRPr="002A37D0" w:rsidRDefault="002A37D0" w:rsidP="002A37D0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A37D0" w:rsidRPr="002A37D0" w:rsidRDefault="002A37D0" w:rsidP="002A37D0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A37D0" w:rsidRPr="002A37D0" w:rsidRDefault="002A37D0" w:rsidP="002A37D0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A37D0" w:rsidRPr="002A37D0" w:rsidRDefault="002A37D0" w:rsidP="002A37D0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lang w:val="fr-FR"/>
        </w:rPr>
      </w:pP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2A37D0">
        <w:rPr>
          <w:rFonts w:ascii="Times New Roman" w:hAnsi="Times New Roman" w:cs="Times New Roman"/>
          <w:b/>
          <w:sz w:val="36"/>
          <w:szCs w:val="36"/>
          <w:lang w:val="fr-FR"/>
        </w:rPr>
        <w:t xml:space="preserve">TOURNOI INDEPARTEMENTAL DES SPORTS 2024 </w:t>
      </w: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2A37D0">
        <w:rPr>
          <w:rFonts w:ascii="Times New Roman" w:hAnsi="Times New Roman" w:cs="Times New Roman"/>
          <w:b/>
          <w:sz w:val="36"/>
          <w:szCs w:val="36"/>
          <w:lang w:val="fr-FR"/>
        </w:rPr>
        <w:t>********</w:t>
      </w: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2A37D0">
        <w:rPr>
          <w:rFonts w:ascii="Times New Roman" w:hAnsi="Times New Roman" w:cs="Times New Roman"/>
          <w:b/>
          <w:sz w:val="36"/>
          <w:szCs w:val="36"/>
          <w:lang w:val="fr-FR"/>
        </w:rPr>
        <w:t xml:space="preserve">COMMISSION TECHNIQUE DE 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>BASKETBALL</w:t>
      </w: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2A37D0">
        <w:rPr>
          <w:rFonts w:ascii="Times New Roman" w:hAnsi="Times New Roman" w:cs="Times New Roman"/>
          <w:b/>
          <w:sz w:val="36"/>
          <w:szCs w:val="36"/>
          <w:lang w:val="fr-FR"/>
        </w:rPr>
        <w:t>**********</w:t>
      </w: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2A37D0">
        <w:rPr>
          <w:rFonts w:ascii="Times New Roman" w:hAnsi="Times New Roman" w:cs="Times New Roman"/>
          <w:b/>
          <w:sz w:val="36"/>
          <w:szCs w:val="36"/>
          <w:lang w:val="fr-FR"/>
        </w:rPr>
        <w:t>REGLEMENT DE LA COMPETITION</w:t>
      </w: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2A37D0" w:rsidRPr="002A37D0" w:rsidRDefault="002A37D0" w:rsidP="002A37D0">
      <w:pPr>
        <w:spacing w:after="200" w:line="276" w:lineRule="auto"/>
        <w:rPr>
          <w:rFonts w:ascii="Times New Roman" w:hAnsi="Times New Roman" w:cs="Times New Roman"/>
          <w:sz w:val="20"/>
          <w:szCs w:val="26"/>
          <w:lang w:val="fr-FR"/>
        </w:rPr>
      </w:pPr>
    </w:p>
    <w:p w:rsidR="00AF3D5E" w:rsidRDefault="00AF3D5E" w:rsidP="002A37D0">
      <w:pPr>
        <w:tabs>
          <w:tab w:val="left" w:pos="960"/>
        </w:tabs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6"/>
          <w:lang w:val="fr-FR"/>
        </w:rPr>
      </w:pPr>
    </w:p>
    <w:p w:rsidR="002A37D0" w:rsidRPr="002A37D0" w:rsidRDefault="002A37D0" w:rsidP="002A37D0">
      <w:pPr>
        <w:tabs>
          <w:tab w:val="left" w:pos="960"/>
        </w:tabs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6"/>
          <w:lang w:val="fr-FR"/>
        </w:rPr>
      </w:pPr>
      <w:r w:rsidRPr="002A37D0">
        <w:rPr>
          <w:rFonts w:ascii="Times New Roman" w:hAnsi="Times New Roman" w:cs="Times New Roman"/>
          <w:b/>
          <w:sz w:val="20"/>
          <w:szCs w:val="26"/>
          <w:lang w:val="fr-FR"/>
        </w:rPr>
        <w:t>AOUT 2024</w:t>
      </w:r>
    </w:p>
    <w:p w:rsidR="002A37D0" w:rsidRPr="002A37D0" w:rsidRDefault="002A37D0" w:rsidP="002A3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A37D0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GENERALITES</w:t>
      </w:r>
    </w:p>
    <w:p w:rsidR="00DB2110" w:rsidRDefault="00DB2110" w:rsidP="002A37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>En étroite collaboration avec</w:t>
      </w:r>
      <w:r w:rsidR="005F2362">
        <w:rPr>
          <w:rFonts w:ascii="Times New Roman" w:hAnsi="Times New Roman" w:cs="Times New Roman"/>
          <w:sz w:val="24"/>
          <w:szCs w:val="24"/>
          <w:lang w:val="fr-FR"/>
        </w:rPr>
        <w:t xml:space="preserve"> les  Ligues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5F2362">
        <w:rPr>
          <w:rFonts w:ascii="Times New Roman" w:hAnsi="Times New Roman" w:cs="Times New Roman"/>
          <w:sz w:val="24"/>
          <w:szCs w:val="24"/>
          <w:lang w:val="fr-FR"/>
        </w:rPr>
        <w:t>Basketball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,  le Ministère de la Jeunesse et des Sports à travers les délégations provinciales organise   un tournoi </w:t>
      </w:r>
      <w:r w:rsidR="005F2362">
        <w:rPr>
          <w:rFonts w:ascii="Times New Roman" w:hAnsi="Times New Roman" w:cs="Times New Roman"/>
          <w:sz w:val="24"/>
          <w:szCs w:val="24"/>
          <w:lang w:val="fr-FR"/>
        </w:rPr>
        <w:t>inter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départemental de Basketball</w:t>
      </w:r>
      <w:r w:rsidR="005F236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A37D0" w:rsidRPr="00AF3D5E" w:rsidRDefault="002A37D0" w:rsidP="002A37D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2A37D0" w:rsidRPr="002A37D0" w:rsidRDefault="002A37D0" w:rsidP="002A37D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A37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CHAPITRE 1 :</w:t>
      </w:r>
      <w:r w:rsidRPr="002A37D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CREATION – ATTRIBUTION</w:t>
      </w: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2A37D0" w:rsidRDefault="002A37D0" w:rsidP="002A37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A37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 </w:t>
      </w:r>
      <w:r w:rsidRPr="002A37D0">
        <w:rPr>
          <w:rFonts w:ascii="Times New Roman" w:hAnsi="Times New Roman" w:cs="Times New Roman"/>
          <w:sz w:val="24"/>
          <w:szCs w:val="24"/>
          <w:lang w:val="fr-FR"/>
        </w:rPr>
        <w:t>: il est  mis sur pied une</w:t>
      </w:r>
      <w:r w:rsidRPr="002A37D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A37D0">
        <w:rPr>
          <w:rFonts w:ascii="Times New Roman" w:hAnsi="Times New Roman" w:cs="Times New Roman"/>
          <w:sz w:val="24"/>
          <w:szCs w:val="24"/>
          <w:lang w:val="fr-FR"/>
        </w:rPr>
        <w:t xml:space="preserve">Commission technique  chargée de l’organisation du  tournoi interdépartemental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de Basketball 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U16 et U18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c’est-à-dire des jeunes de (16 à 18 ans).</w:t>
      </w:r>
    </w:p>
    <w:p w:rsidR="002A37D0" w:rsidRPr="002A37D0" w:rsidRDefault="002A37D0" w:rsidP="002A37D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AF3D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A37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</w:t>
      </w:r>
      <w:r w:rsidRPr="002A37D0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 xml:space="preserve"> :</w:t>
      </w:r>
      <w:r w:rsidRPr="002A37D0">
        <w:rPr>
          <w:rFonts w:ascii="Times New Roman" w:hAnsi="Times New Roman" w:cs="Times New Roman"/>
          <w:sz w:val="24"/>
          <w:szCs w:val="24"/>
          <w:lang w:val="fr-FR"/>
        </w:rPr>
        <w:t xml:space="preserve"> la commission est chargée de l’organisation technique et du bon déroulement de ce tournoi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Chapitre II : ENGAGEMENT-QUALIFICATION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3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 tournoi </w:t>
      </w:r>
      <w:proofErr w:type="spellStart"/>
      <w:r w:rsidR="005F2362">
        <w:rPr>
          <w:rFonts w:ascii="Times New Roman" w:hAnsi="Times New Roman" w:cs="Times New Roman"/>
          <w:sz w:val="24"/>
          <w:szCs w:val="24"/>
          <w:lang w:val="fr-FR"/>
        </w:rPr>
        <w:t>nter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départemental</w:t>
      </w:r>
      <w:proofErr w:type="spellEnd"/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de Basket-ball est réservé aux équipes de deux sexes des différents départements des provinces.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>Pour prendre part à une rencontre, les joueurs doivent être inscrits sur la feuille de marque.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Article 4 :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Pour s’engager à ce tournoi, les équipes doivent être composées de 14 joueurs et 14 joueuses âgés de 16 à 18 ans 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(U16 et U18)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561B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Article 5: </w:t>
      </w:r>
      <w:r w:rsidR="008A561B" w:rsidRPr="00AF3D5E">
        <w:rPr>
          <w:rFonts w:ascii="Times New Roman" w:hAnsi="Times New Roman" w:cs="Times New Roman"/>
          <w:sz w:val="24"/>
          <w:szCs w:val="24"/>
          <w:lang w:val="fr-FR"/>
        </w:rPr>
        <w:t>L’Engagement</w:t>
      </w:r>
      <w:r w:rsidR="008A561B"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A561B" w:rsidRPr="00AF3D5E">
        <w:rPr>
          <w:rFonts w:ascii="Times New Roman" w:hAnsi="Times New Roman" w:cs="Times New Roman"/>
          <w:sz w:val="24"/>
          <w:szCs w:val="24"/>
          <w:lang w:val="fr-FR"/>
        </w:rPr>
        <w:t>au tournoi dépend de la tenue d’une Fiche d’Engagement de quatorze (</w:t>
      </w:r>
      <w:r w:rsidR="008A561B" w:rsidRPr="00AF3D5E">
        <w:rPr>
          <w:rFonts w:ascii="Times New Roman" w:hAnsi="Times New Roman" w:cs="Times New Roman"/>
          <w:b/>
          <w:sz w:val="24"/>
          <w:szCs w:val="24"/>
          <w:lang w:val="fr-FR"/>
        </w:rPr>
        <w:t>14)</w:t>
      </w:r>
      <w:r w:rsidR="008A561B"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joueurs et quatorze  (14 ) joueuses accompagnée des actes de naissances et d’une carte photo</w:t>
      </w:r>
      <w:r w:rsidR="00AF3D5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A561B" w:rsidRPr="00AF3D5E" w:rsidRDefault="008A561B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Seuls les quatorze (14) joueurs </w:t>
      </w:r>
      <w:r w:rsidR="008A561B"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532E15" w:rsidRPr="00AF3D5E">
        <w:rPr>
          <w:rFonts w:ascii="Times New Roman" w:hAnsi="Times New Roman" w:cs="Times New Roman"/>
          <w:sz w:val="24"/>
          <w:szCs w:val="24"/>
          <w:lang w:val="fr-FR"/>
        </w:rPr>
        <w:t>(4</w:t>
      </w:r>
      <w:r w:rsidR="008A561B"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) joueuses inscrits 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sur  la fiche d’engagement sont qualifiés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Chapitre III : LA COMPETITION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6: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La compétition se déroulera sous forme de poule. </w:t>
      </w:r>
    </w:p>
    <w:p w:rsidR="00532E15" w:rsidRPr="00AF3D5E" w:rsidRDefault="00532E15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Chapitre IV : CLASSEMENT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7: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 classement des équipes à ce championnat sera établi sur la base suivante: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Trois (3) points pour une rencontre gagnée;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Un (1) point pour une rencontre perdue (y compris par défaut) ;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Zéro (0) point pour une rencontre perdue par forfait.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8: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Rencontre perdue par forfait.</w:t>
      </w:r>
    </w:p>
    <w:p w:rsidR="002A37D0" w:rsidRPr="00AF3D5E" w:rsidRDefault="002A37D0" w:rsidP="00AF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AF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>Une équipe perd par forfait si :</w:t>
      </w:r>
    </w:p>
    <w:p w:rsidR="002A37D0" w:rsidRPr="00AF3D5E" w:rsidRDefault="002A37D0" w:rsidP="00AF3D5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A37D0" w:rsidRPr="00AF3D5E" w:rsidRDefault="002A37D0" w:rsidP="00AF3D5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Elle refuse de jouer malgré l'ordre de l'arbitre;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lastRenderedPageBreak/>
        <w:t xml:space="preserve">elle empêche la rencontre de se </w:t>
      </w:r>
      <w:r w:rsidR="00532E15" w:rsidRPr="00AF3D5E">
        <w:rPr>
          <w:rFonts w:ascii="Times New Roman" w:hAnsi="Times New Roman" w:cs="Times New Roman"/>
          <w:sz w:val="24"/>
          <w:szCs w:val="24"/>
        </w:rPr>
        <w:t>dérouler ou de se poursuivre</w:t>
      </w:r>
      <w:r w:rsidRPr="00AF3D5E">
        <w:rPr>
          <w:rFonts w:ascii="Times New Roman" w:hAnsi="Times New Roman" w:cs="Times New Roman"/>
          <w:sz w:val="24"/>
          <w:szCs w:val="24"/>
        </w:rPr>
        <w:t>;</w:t>
      </w:r>
    </w:p>
    <w:p w:rsidR="002A37D0" w:rsidRPr="00AF3D5E" w:rsidRDefault="00532E15" w:rsidP="002A37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elle ne se présente pas q</w:t>
      </w:r>
      <w:r w:rsidR="002A37D0" w:rsidRPr="00AF3D5E">
        <w:rPr>
          <w:rFonts w:ascii="Times New Roman" w:hAnsi="Times New Roman" w:cs="Times New Roman"/>
          <w:sz w:val="24"/>
          <w:szCs w:val="24"/>
        </w:rPr>
        <w:t>uinze (15) minutes après l'heure fixée pour l</w:t>
      </w:r>
      <w:r w:rsidRPr="00AF3D5E">
        <w:rPr>
          <w:rFonts w:ascii="Times New Roman" w:hAnsi="Times New Roman" w:cs="Times New Roman"/>
          <w:sz w:val="24"/>
          <w:szCs w:val="24"/>
        </w:rPr>
        <w:t>e début de la rencontre</w:t>
      </w:r>
      <w:r w:rsidR="002A37D0" w:rsidRPr="00AF3D5E">
        <w:rPr>
          <w:rFonts w:ascii="Times New Roman" w:hAnsi="Times New Roman" w:cs="Times New Roman"/>
          <w:sz w:val="24"/>
          <w:szCs w:val="24"/>
        </w:rPr>
        <w:t xml:space="preserve"> ou ne peut aligner ses cinq (5) joueurs.</w:t>
      </w:r>
    </w:p>
    <w:p w:rsidR="002A37D0" w:rsidRPr="00AF3D5E" w:rsidRDefault="002A37D0" w:rsidP="00AF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En cas de forfait, la rencontre est gagnée par </w:t>
      </w:r>
      <w:r w:rsidR="00AF3D5E" w:rsidRPr="00AF3D5E">
        <w:rPr>
          <w:rFonts w:ascii="Times New Roman" w:hAnsi="Times New Roman" w:cs="Times New Roman"/>
          <w:sz w:val="24"/>
          <w:szCs w:val="24"/>
          <w:lang w:val="fr-FR"/>
        </w:rPr>
        <w:t>un score de 20 points à 0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Si l'équipe avantagée mène à la marque, le score, au moment de l'arrêt reste acquis.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Si cette équipe est menée à la marque, le score sera de trois (3) à zéro (0).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Une rencontre est gagnée par l'équipe adverse par le score de 20 à 0 et l'équipe déclarée forfait reçoit 0 point.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9: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 classement général de la compétition se fait par l'addition des points obtenus pendant les différentes rencontres.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10 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En</w:t>
      </w:r>
      <w:r w:rsidR="00AF3D5E"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cas d'égalité des points à la fin du championnat, le classement des équipes sera établi de la manière suivante: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Si les deux équipes sont à égalité, les résultats de la ou des rencontres les ayant opposés directement détermineront le classement.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 xml:space="preserve">Si le total des points marqués et concédés est le même pour les rencontres les ayant opposées directement, le classement sera effectué par Goal </w:t>
      </w:r>
      <w:proofErr w:type="spellStart"/>
      <w:r w:rsidRPr="00AF3D5E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AF3D5E">
        <w:rPr>
          <w:rFonts w:ascii="Times New Roman" w:hAnsi="Times New Roman" w:cs="Times New Roman"/>
          <w:sz w:val="24"/>
          <w:szCs w:val="24"/>
        </w:rPr>
        <w:t xml:space="preserve"> sur la base des résultats de toutes les rencontres que ces deux équipes auront disputées dans le groupe.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Si plus de deux équipes sont à égalité dans le classement, un second classement sera effectué en tenant compte des résultats des rencontres jouées entre les équipes à égalité.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11: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 Goal </w:t>
      </w:r>
      <w:proofErr w:type="spellStart"/>
      <w:r w:rsidRPr="00AF3D5E">
        <w:rPr>
          <w:rFonts w:ascii="Times New Roman" w:hAnsi="Times New Roman" w:cs="Times New Roman"/>
          <w:sz w:val="24"/>
          <w:szCs w:val="24"/>
          <w:lang w:val="fr-FR"/>
        </w:rPr>
        <w:t>Average</w:t>
      </w:r>
      <w:proofErr w:type="spellEnd"/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sera toujours calculé par division (La somme de paniers marqués de toutes les rencontres divisés par la somme de paniers encaissés).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Chapitre V : LOIS DU JEU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12: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 règlement de jeu adopté est celui de FIBA (Fédération Internationale de Basket-ball). Cependant, il est fixé de modalités de déroulement spécifique sans toutefois déroger aux dispositions de l’esprit du règlement.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13: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Lieu des rencontres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>Tous les terrains où se disputent les rencontres officiellement doivent être homologués et équipés conformément au règlement répondant aux normes (lignes, hauteur de l’anneau…).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14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Equipement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>Chaque équipe doit déclarer la couleur officielle de sa tenue lors de son engagement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équipes jouent les rencontres dans la couleur officielle déclarée.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L’équipe nommée en premier sur le programme (équipe locale) porte le maillot de couleur claire. Celle cité en deuxième (l’équipe visiteuse) porte le maillot de couleur foncée ;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Le ballon de  match doit être de taille 7 ;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lastRenderedPageBreak/>
        <w:t>En cas de couleur identique où ne permet pas une différenciation suffisante, l’équipe qui reçoit, change de couleur de maillot.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15: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Durée de la rencontre est de 4 périodes de 10 mn, chronomètre arrêté ou encore en deux périodes de 30 mn, chronomètre non arrêté.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 16: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En cas de report de match pour des raisons indépendantes de l’instance organisatrice, la rencontre est rejouée le plus vite possible (Soir-Matin ou Matin-soir).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17: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Un joueur suspendu lors d’un match à rejouer ne pourra pas prendre part à la rencontre.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18: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horaires et dates officielles de chaque rencontre soient fixés par la Commission d’Organisation et peuvent être modifiées.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Chapitre VI : DISCIPLINE-SANCTION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Article 19: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Les équipes et les officiels doivent respecter l’esprit de la compétition qui est le brassage.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Theme="majorHAnsi" w:hAnsiTheme="majorHAnsi" w:cs="Times New Roman"/>
          <w:b/>
          <w:sz w:val="24"/>
          <w:szCs w:val="24"/>
          <w:u w:val="single"/>
          <w:lang w:val="fr-FR"/>
        </w:rPr>
        <w:t xml:space="preserve"> </w:t>
      </w: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20: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sanctions applicables par la commi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t>ssion technique pour tout acte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br/>
        <w:t>c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ontraire à l'esprit du jeu sont: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L'avertissement ;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La suspension ;</w:t>
      </w:r>
    </w:p>
    <w:p w:rsidR="002A37D0" w:rsidRPr="00AF3D5E" w:rsidRDefault="002A37D0" w:rsidP="002A37D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La disqualification.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21: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L'échelle des sanctions est du ressort de la commission technique.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73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22:</w:t>
      </w:r>
      <w:r w:rsidRPr="007A7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737E" w:rsidRPr="007A737E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Pr="007A737E">
        <w:rPr>
          <w:rFonts w:ascii="Times New Roman" w:hAnsi="Times New Roman" w:cs="Times New Roman"/>
          <w:sz w:val="24"/>
          <w:szCs w:val="24"/>
          <w:lang w:val="fr-FR"/>
        </w:rPr>
        <w:t>Insulte à l’égard de</w:t>
      </w:r>
      <w:r w:rsidR="007A737E" w:rsidRPr="007A737E">
        <w:rPr>
          <w:rFonts w:ascii="Times New Roman" w:hAnsi="Times New Roman" w:cs="Times New Roman"/>
          <w:sz w:val="24"/>
          <w:szCs w:val="24"/>
          <w:lang w:val="fr-FR"/>
        </w:rPr>
        <w:t xml:space="preserve">s autres joueurs ou spectateurs, </w:t>
      </w:r>
      <w:r w:rsidRPr="007A7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737E" w:rsidRPr="007A737E">
        <w:rPr>
          <w:rFonts w:ascii="Times New Roman" w:hAnsi="Times New Roman" w:cs="Times New Roman"/>
          <w:sz w:val="24"/>
          <w:szCs w:val="24"/>
          <w:lang w:val="fr-FR"/>
        </w:rPr>
        <w:t>entraine l’</w:t>
      </w:r>
      <w:r w:rsidRPr="007A737E">
        <w:rPr>
          <w:rFonts w:ascii="Times New Roman" w:hAnsi="Times New Roman" w:cs="Times New Roman"/>
          <w:sz w:val="24"/>
          <w:szCs w:val="24"/>
          <w:lang w:val="fr-FR"/>
        </w:rPr>
        <w:t xml:space="preserve">Expulsion du terrain et </w:t>
      </w:r>
      <w:r w:rsidR="007A737E" w:rsidRPr="007A737E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7A737E">
        <w:rPr>
          <w:rFonts w:ascii="Times New Roman" w:hAnsi="Times New Roman" w:cs="Times New Roman"/>
          <w:sz w:val="24"/>
          <w:szCs w:val="24"/>
          <w:lang w:val="fr-FR"/>
        </w:rPr>
        <w:t>suspension au prochain match.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23: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Dans le cas où le joueur récidive, il est suspendu pour les 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t xml:space="preserve">deux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prochains matchs.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24: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Insulte ou menaces dirigées contre les arbitres et autres officiels, 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t xml:space="preserve">entraine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une expulsion et une suspension pour deux matchs.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25: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Dans le cas où le joueur récidive, il prend une suspension pour trois matchs successifs.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26: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En cas de bagarre contre les arbitres, officiels,</w:t>
      </w:r>
      <w:r w:rsidR="007A737E">
        <w:rPr>
          <w:rFonts w:ascii="Times New Roman" w:hAnsi="Times New Roman" w:cs="Times New Roman"/>
          <w:sz w:val="24"/>
          <w:szCs w:val="24"/>
          <w:lang w:val="fr-FR"/>
        </w:rPr>
        <w:t xml:space="preserve"> autres joueurs ou spectateurs, le joueur écope ; 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5E">
        <w:rPr>
          <w:rFonts w:ascii="Times New Roman" w:hAnsi="Times New Roman" w:cs="Times New Roman"/>
          <w:sz w:val="24"/>
          <w:szCs w:val="24"/>
        </w:rPr>
        <w:t>une suspension inconditionnelle pour toute la durée de la compétition ;</w:t>
      </w:r>
    </w:p>
    <w:p w:rsidR="002A37D0" w:rsidRPr="00AF3D5E" w:rsidRDefault="007A737E" w:rsidP="002A37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</w:t>
      </w:r>
      <w:r w:rsidR="002A37D0" w:rsidRPr="00AF3D5E">
        <w:rPr>
          <w:rFonts w:ascii="Times New Roman" w:hAnsi="Times New Roman" w:cs="Times New Roman"/>
          <w:sz w:val="24"/>
          <w:szCs w:val="24"/>
        </w:rPr>
        <w:t xml:space="preserve">interdiction d’assister aux matchs livrés par son </w:t>
      </w:r>
      <w:r>
        <w:rPr>
          <w:rFonts w:ascii="Times New Roman" w:hAnsi="Times New Roman" w:cs="Times New Roman"/>
          <w:sz w:val="24"/>
          <w:szCs w:val="24"/>
        </w:rPr>
        <w:t>équipe</w:t>
      </w:r>
      <w:r w:rsidR="002A37D0" w:rsidRPr="00AF3D5E">
        <w:rPr>
          <w:rFonts w:ascii="Times New Roman" w:hAnsi="Times New Roman" w:cs="Times New Roman"/>
          <w:sz w:val="24"/>
          <w:szCs w:val="24"/>
        </w:rPr>
        <w:t>;</w:t>
      </w:r>
    </w:p>
    <w:p w:rsidR="002A37D0" w:rsidRPr="00AF3D5E" w:rsidRDefault="002A37D0" w:rsidP="002A37D0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27: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2449D2">
        <w:rPr>
          <w:rFonts w:ascii="Times New Roman" w:hAnsi="Times New Roman" w:cs="Times New Roman"/>
          <w:sz w:val="24"/>
          <w:szCs w:val="24"/>
          <w:lang w:val="fr-FR"/>
        </w:rPr>
        <w:t xml:space="preserve">sanctions citées en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articles 19, 20, 21, 22, 23, 24, 25,26 sont </w:t>
      </w:r>
      <w:r w:rsidR="002449D2">
        <w:rPr>
          <w:rFonts w:ascii="Times New Roman" w:hAnsi="Times New Roman" w:cs="Times New Roman"/>
          <w:sz w:val="24"/>
          <w:szCs w:val="24"/>
          <w:lang w:val="fr-FR"/>
        </w:rPr>
        <w:t xml:space="preserve">également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valables pour le</w:t>
      </w:r>
      <w:r w:rsidR="002449D2">
        <w:rPr>
          <w:rFonts w:ascii="Times New Roman" w:hAnsi="Times New Roman" w:cs="Times New Roman"/>
          <w:sz w:val="24"/>
          <w:szCs w:val="24"/>
          <w:lang w:val="fr-FR"/>
        </w:rPr>
        <w:t>s entraineurs et les dirigeants.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28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="002449D2">
        <w:rPr>
          <w:rFonts w:ascii="Times New Roman" w:hAnsi="Times New Roman" w:cs="Times New Roman"/>
          <w:sz w:val="24"/>
          <w:szCs w:val="24"/>
          <w:lang w:val="fr-FR"/>
        </w:rPr>
        <w:t>out D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épartement </w:t>
      </w:r>
      <w:r w:rsidR="002449D2">
        <w:rPr>
          <w:rFonts w:ascii="Times New Roman" w:hAnsi="Times New Roman" w:cs="Times New Roman"/>
          <w:sz w:val="24"/>
          <w:szCs w:val="24"/>
          <w:lang w:val="fr-FR"/>
        </w:rPr>
        <w:t xml:space="preserve">ou Arrondissement 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>ayant aligné un joueur non qualifié aura match perdu par pénalité.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Chapitre VII : </w:t>
      </w:r>
      <w:r w:rsidR="002C4290" w:rsidRPr="00AF3D5E">
        <w:rPr>
          <w:rFonts w:ascii="Times New Roman" w:hAnsi="Times New Roman" w:cs="Times New Roman"/>
          <w:b/>
          <w:sz w:val="24"/>
          <w:szCs w:val="24"/>
          <w:lang w:val="fr-FR"/>
        </w:rPr>
        <w:t>RECLAMATION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29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décisions de la Sous-commission Technique d’homologation, des litiges et des disciplines sont prises après examens des rapports des arbitres et des délégués des matches. Ses décisions peuvent faire l’objet d’un appel à la Commission d’Organisation.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30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décisions prises par la Commission d’Organisation sont sans appel.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0" w:name="_GoBack"/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Chapitre VIII: DISPOSITIONS FINALES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Article 31 :</w:t>
      </w:r>
      <w:r w:rsidRPr="00AF3D5E">
        <w:rPr>
          <w:rFonts w:ascii="Times New Roman" w:hAnsi="Times New Roman" w:cs="Times New Roman"/>
          <w:sz w:val="24"/>
          <w:szCs w:val="24"/>
          <w:lang w:val="fr-FR"/>
        </w:rPr>
        <w:t xml:space="preserve"> Les cas non prévus par le présent règlement sont du ressort de la Commission d’Organisation.</w:t>
      </w:r>
    </w:p>
    <w:p w:rsidR="002A37D0" w:rsidRPr="00AF3D5E" w:rsidRDefault="002A37D0" w:rsidP="002A3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37D0" w:rsidRPr="00AF3D5E" w:rsidRDefault="002A37D0" w:rsidP="002A3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N’Djamena, le </w:t>
      </w:r>
    </w:p>
    <w:p w:rsidR="00AF3D5E" w:rsidRDefault="00AF3D5E" w:rsidP="002A3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F3D5E" w:rsidRDefault="00AF3D5E" w:rsidP="002A3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F3D5E" w:rsidRDefault="00AF3D5E" w:rsidP="002A3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A37D0" w:rsidRPr="00AF3D5E" w:rsidRDefault="002A37D0" w:rsidP="002A37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3D5E">
        <w:rPr>
          <w:rFonts w:ascii="Times New Roman" w:hAnsi="Times New Roman" w:cs="Times New Roman"/>
          <w:b/>
          <w:sz w:val="24"/>
          <w:szCs w:val="24"/>
          <w:lang w:val="fr-FR"/>
        </w:rPr>
        <w:t>La Commission Technique de Basketball</w:t>
      </w:r>
    </w:p>
    <w:bookmarkEnd w:id="0"/>
    <w:p w:rsidR="002C4290" w:rsidRPr="00AF3D5E" w:rsidRDefault="002C4290">
      <w:pPr>
        <w:rPr>
          <w:sz w:val="24"/>
          <w:szCs w:val="24"/>
          <w:lang w:val="fr-FR"/>
        </w:rPr>
      </w:pPr>
    </w:p>
    <w:sectPr w:rsidR="002C4290" w:rsidRPr="00AF3D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3FF"/>
    <w:multiLevelType w:val="hybridMultilevel"/>
    <w:tmpl w:val="613A5506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A81FFC"/>
    <w:multiLevelType w:val="hybridMultilevel"/>
    <w:tmpl w:val="64E05E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B21D2"/>
    <w:multiLevelType w:val="hybridMultilevel"/>
    <w:tmpl w:val="E862A26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F40470"/>
    <w:multiLevelType w:val="hybridMultilevel"/>
    <w:tmpl w:val="CC0C751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71436C"/>
    <w:multiLevelType w:val="hybridMultilevel"/>
    <w:tmpl w:val="786AE4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344B4"/>
    <w:multiLevelType w:val="hybridMultilevel"/>
    <w:tmpl w:val="9F167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14B0E"/>
    <w:multiLevelType w:val="hybridMultilevel"/>
    <w:tmpl w:val="7E981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369DD"/>
    <w:multiLevelType w:val="hybridMultilevel"/>
    <w:tmpl w:val="1608A2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D0"/>
    <w:rsid w:val="002449D2"/>
    <w:rsid w:val="002A37D0"/>
    <w:rsid w:val="002C4290"/>
    <w:rsid w:val="003A4EE0"/>
    <w:rsid w:val="00532E15"/>
    <w:rsid w:val="005F2362"/>
    <w:rsid w:val="00685CBF"/>
    <w:rsid w:val="007A737E"/>
    <w:rsid w:val="008A561B"/>
    <w:rsid w:val="00AF3D5E"/>
    <w:rsid w:val="00C05C33"/>
    <w:rsid w:val="00DB2110"/>
    <w:rsid w:val="00E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F010-DC04-4D79-A360-B9F6D5D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7D0"/>
    <w:pPr>
      <w:spacing w:after="200" w:line="276" w:lineRule="auto"/>
      <w:ind w:left="720"/>
      <w:contextualSpacing/>
    </w:pPr>
    <w:rPr>
      <w:rFonts w:eastAsiaTheme="minorEastAsia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2024-08-19T22:34:00Z</cp:lastPrinted>
  <dcterms:created xsi:type="dcterms:W3CDTF">2024-08-19T21:05:00Z</dcterms:created>
  <dcterms:modified xsi:type="dcterms:W3CDTF">2024-08-19T23:30:00Z</dcterms:modified>
</cp:coreProperties>
</file>