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C2A11" w14:textId="77777777" w:rsidR="00BA06B5" w:rsidRDefault="00BA06B5"/>
    <w:p w14:paraId="4F369DE6" w14:textId="77777777" w:rsidR="00BA06B5" w:rsidRDefault="00931E88">
      <w:pPr>
        <w:spacing w:after="120"/>
        <w:jc w:val="center"/>
      </w:pPr>
      <w:r>
        <w:rPr>
          <w:b/>
          <w:bCs/>
          <w:color w:val="1F4E79"/>
          <w:sz w:val="28"/>
          <w:szCs w:val="28"/>
        </w:rPr>
        <w:t>RÉPUBLIQUE DU TCHAD</w:t>
      </w:r>
    </w:p>
    <w:p w14:paraId="7D546495" w14:textId="77777777" w:rsidR="00BA06B5" w:rsidRDefault="00931E88">
      <w:pPr>
        <w:spacing w:after="80"/>
        <w:jc w:val="center"/>
      </w:pPr>
      <w:r>
        <w:rPr>
          <w:i/>
          <w:iCs/>
          <w:color w:val="2E75B6"/>
        </w:rPr>
        <w:t>Unité – Travail – Progrès</w:t>
      </w:r>
    </w:p>
    <w:p w14:paraId="29A394C7" w14:textId="0C21C58D" w:rsidR="00BA06B5" w:rsidRPr="00280B1C" w:rsidRDefault="00931E88">
      <w:pPr>
        <w:pBdr>
          <w:bottom w:val="single" w:sz="12" w:space="4" w:color="C9A84C"/>
        </w:pBdr>
        <w:spacing w:after="240"/>
        <w:jc w:val="center"/>
      </w:pPr>
      <w:r>
        <w:rPr>
          <w:b/>
          <w:bCs/>
          <w:color w:val="1A1A1A"/>
        </w:rPr>
        <w:t>Ministère d</w:t>
      </w:r>
      <w:r w:rsidR="00280B1C">
        <w:rPr>
          <w:b/>
          <w:bCs/>
          <w:color w:val="1A1A1A"/>
        </w:rPr>
        <w:t>u Commerce et de l’Industrie</w:t>
      </w:r>
    </w:p>
    <w:p w14:paraId="038F5875" w14:textId="4A957C78" w:rsidR="00BA06B5" w:rsidRDefault="00BA06B5"/>
    <w:p w14:paraId="63D4E181" w14:textId="78DC10DD" w:rsidR="00280B1C" w:rsidRDefault="00280B1C"/>
    <w:p w14:paraId="2D7FE9EB" w14:textId="1F3DAB20" w:rsidR="00280B1C" w:rsidRDefault="00280B1C"/>
    <w:p w14:paraId="1BDA9A6F" w14:textId="2C634375" w:rsidR="00280B1C" w:rsidRDefault="00280B1C"/>
    <w:p w14:paraId="771F9CA4" w14:textId="12C9482D" w:rsidR="00280B1C" w:rsidRDefault="00280B1C"/>
    <w:p w14:paraId="4EE29EEB" w14:textId="66F77C87" w:rsidR="00280B1C" w:rsidRDefault="00280B1C"/>
    <w:p w14:paraId="3F713B1B" w14:textId="77777777" w:rsidR="00280B1C" w:rsidRDefault="00280B1C"/>
    <w:p w14:paraId="2D4142E4" w14:textId="77777777" w:rsidR="00BA06B5" w:rsidRDefault="00931E88">
      <w:pPr>
        <w:shd w:val="clear" w:color="auto" w:fill="1F4E79"/>
        <w:spacing w:before="200" w:after="200"/>
        <w:jc w:val="center"/>
      </w:pPr>
      <w:r>
        <w:rPr>
          <w:b/>
          <w:bCs/>
          <w:color w:val="FFFFFF"/>
          <w:sz w:val="40"/>
          <w:szCs w:val="40"/>
        </w:rPr>
        <w:t>TERMES DE RÉFÉRENCE</w:t>
      </w:r>
    </w:p>
    <w:p w14:paraId="3BAFFC1F" w14:textId="77777777" w:rsidR="00BA06B5" w:rsidRDefault="00BA06B5"/>
    <w:p w14:paraId="6967FC30" w14:textId="77777777" w:rsidR="00BA06B5" w:rsidRDefault="00931E88">
      <w:pPr>
        <w:spacing w:before="160" w:after="80"/>
        <w:jc w:val="center"/>
      </w:pPr>
      <w:r>
        <w:rPr>
          <w:b/>
          <w:bCs/>
          <w:color w:val="1F4E79"/>
          <w:sz w:val="28"/>
          <w:szCs w:val="28"/>
        </w:rPr>
        <w:t>DIAGNOSTIC DU CADRE OPÉRATIONNEL DES TRIBUNAUX DE COMMERCE</w:t>
      </w:r>
    </w:p>
    <w:p w14:paraId="5542AFDA" w14:textId="77777777" w:rsidR="00BA06B5" w:rsidRDefault="00931E88">
      <w:pPr>
        <w:spacing w:after="80"/>
        <w:jc w:val="center"/>
      </w:pPr>
      <w:r>
        <w:rPr>
          <w:color w:val="2E75B6"/>
        </w:rPr>
        <w:t>ET</w:t>
      </w:r>
    </w:p>
    <w:p w14:paraId="7A61260B" w14:textId="27E65E7D" w:rsidR="00BA06B5" w:rsidRPr="00280B1C" w:rsidRDefault="00DC6EC4">
      <w:pPr>
        <w:spacing w:after="160"/>
        <w:jc w:val="center"/>
      </w:pPr>
      <w:r>
        <w:rPr>
          <w:b/>
          <w:bCs/>
          <w:color w:val="1F4E79"/>
          <w:sz w:val="24"/>
          <w:szCs w:val="24"/>
        </w:rPr>
        <w:t>DU CADRE LÉGAL ET RÉGLEMENTAIRE DE LA JUSTICE COMMERCIALE</w:t>
      </w:r>
    </w:p>
    <w:p w14:paraId="7BFD6AC1" w14:textId="77777777" w:rsidR="00BA06B5" w:rsidRDefault="00BA06B5"/>
    <w:p w14:paraId="43F56A92" w14:textId="77777777" w:rsidR="00BA06B5" w:rsidRDefault="00931E88">
      <w:pPr>
        <w:pBdr>
          <w:top w:val="single" w:sz="4" w:space="4" w:color="C9A84C"/>
          <w:bottom w:val="single" w:sz="4" w:space="4" w:color="C9A84C"/>
        </w:pBdr>
        <w:spacing w:before="120" w:after="120"/>
        <w:jc w:val="center"/>
      </w:pPr>
      <w:r>
        <w:rPr>
          <w:b/>
          <w:bCs/>
          <w:i/>
          <w:iCs/>
          <w:color w:val="C9A84C"/>
          <w:sz w:val="26"/>
          <w:szCs w:val="26"/>
        </w:rPr>
        <w:t>Amélioration du Climat des Affaires au Tchad</w:t>
      </w:r>
    </w:p>
    <w:p w14:paraId="390631A4" w14:textId="685FC287" w:rsidR="00BA06B5" w:rsidRDefault="00BA06B5"/>
    <w:p w14:paraId="3E975E93" w14:textId="77777777" w:rsidR="000C56CE" w:rsidRPr="000C56CE" w:rsidRDefault="000C56CE" w:rsidP="000C56CE">
      <w:pPr>
        <w:spacing w:after="120"/>
        <w:jc w:val="center"/>
      </w:pPr>
    </w:p>
    <w:p w14:paraId="3DAB28CF" w14:textId="01350F55" w:rsidR="00BA06B5" w:rsidRDefault="00931E88">
      <w:pPr>
        <w:spacing w:after="80"/>
        <w:jc w:val="center"/>
      </w:pPr>
      <w:r>
        <w:rPr>
          <w:color w:val="1A1A1A"/>
        </w:rPr>
        <w:t>N'Djaména, 202</w:t>
      </w:r>
      <w:r w:rsidR="00DC6EC4">
        <w:rPr>
          <w:color w:val="1A1A1A"/>
        </w:rPr>
        <w:t>6</w:t>
      </w:r>
    </w:p>
    <w:p w14:paraId="6A496AEF" w14:textId="77777777" w:rsidR="00BA06B5" w:rsidRDefault="00931E88">
      <w:r>
        <w:br w:type="page"/>
      </w:r>
    </w:p>
    <w:p w14:paraId="1D983595" w14:textId="77777777" w:rsidR="00BA06B5" w:rsidRDefault="00931E88">
      <w:pPr>
        <w:pStyle w:val="Titre1"/>
        <w:pBdr>
          <w:bottom w:val="single" w:sz="8" w:space="4" w:color="C9A84C"/>
        </w:pBdr>
      </w:pPr>
      <w:r>
        <w:rPr>
          <w:color w:val="1F4E79"/>
        </w:rPr>
        <w:lastRenderedPageBreak/>
        <w:t>I. CONTEXTE ET JUSTIFICATION</w:t>
      </w:r>
    </w:p>
    <w:p w14:paraId="52DA5957" w14:textId="50C2AEF0" w:rsidR="00BA06B5" w:rsidRDefault="00931E88" w:rsidP="00280B1C">
      <w:pPr>
        <w:spacing w:after="120" w:line="276" w:lineRule="auto"/>
        <w:jc w:val="both"/>
      </w:pPr>
      <w:r>
        <w:rPr>
          <w:color w:val="1A1A1A"/>
        </w:rPr>
        <w:t>Le Tchad s'est doté, depuis 2004, d'un cadre institutionnel pour le règlement des différends commerciaux avec l'adoption de l'Ordonnance N°009</w:t>
      </w:r>
      <w:r w:rsidR="00280B1C">
        <w:rPr>
          <w:color w:val="1A1A1A"/>
        </w:rPr>
        <w:t>/PR/2004</w:t>
      </w:r>
      <w:r>
        <w:rPr>
          <w:color w:val="1A1A1A"/>
        </w:rPr>
        <w:t xml:space="preserve"> du 23 août 2004 portant organisation et fonctionnement des tribunaux de commerce. Ce texte fondateur a établi les bases de la juridiction commerciale spécialisée, en définissant la compétence, la composition et les modalités de fonctionnement de ces tribunaux dans le cadre de </w:t>
      </w:r>
      <w:r w:rsidR="00280B1C">
        <w:rPr>
          <w:color w:val="1A1A1A"/>
        </w:rPr>
        <w:t>l’Organisation pour l’Harmonisation en Afrique du Droit des Affaires</w:t>
      </w:r>
      <w:r>
        <w:rPr>
          <w:color w:val="1A1A1A"/>
        </w:rPr>
        <w:t xml:space="preserve"> (OHADA).</w:t>
      </w:r>
    </w:p>
    <w:p w14:paraId="728D4865" w14:textId="77777777" w:rsidR="00BA06B5" w:rsidRDefault="00931E88" w:rsidP="00280B1C">
      <w:pPr>
        <w:spacing w:after="120" w:line="276" w:lineRule="auto"/>
        <w:jc w:val="both"/>
      </w:pPr>
      <w:r>
        <w:rPr>
          <w:color w:val="1A1A1A"/>
        </w:rPr>
        <w:t>En 2020, la Loi N° 028/PR/2020 portant Code de Procédure Civile, Commerciale et Sociale est venue consolider ce dispositif procédural, en posant les principes directeurs du procès, les droits de la défense et les règles de saisine des juridictions. Ces deux textes constituent le socle juridique de la justice commerciale au Tchad.</w:t>
      </w:r>
    </w:p>
    <w:p w14:paraId="30808F13" w14:textId="57BE0407" w:rsidR="00BA06B5" w:rsidRDefault="00931E88" w:rsidP="00280B1C">
      <w:pPr>
        <w:spacing w:after="120" w:line="276" w:lineRule="auto"/>
        <w:jc w:val="both"/>
      </w:pPr>
      <w:r>
        <w:rPr>
          <w:color w:val="1A1A1A"/>
        </w:rPr>
        <w:t>Cependant, plus de vingt ans après la création des tribunaux de commerce, des interrogations persistent quant à leur efficacité opérationnelle réelle, leur accessibilité, et leur adéquation aux besoins d'un environnement économique en constante évolution. Plusieurs facteurs justifient la conduite d'un diagnostic approfondi :</w:t>
      </w:r>
    </w:p>
    <w:p w14:paraId="4EFD872C" w14:textId="77777777" w:rsidR="00BA06B5" w:rsidRDefault="00931E88" w:rsidP="00280B1C">
      <w:pPr>
        <w:pStyle w:val="Paragraphedeliste"/>
        <w:numPr>
          <w:ilvl w:val="0"/>
          <w:numId w:val="2"/>
        </w:numPr>
        <w:spacing w:before="60" w:after="60" w:line="276" w:lineRule="auto"/>
      </w:pPr>
      <w:r>
        <w:rPr>
          <w:color w:val="1A1A1A"/>
        </w:rPr>
        <w:t>L'évolution du tissu économique national et régional avec l'émergence de nouveaux acteurs et de nouvelles formes de transactions commerciales ;</w:t>
      </w:r>
    </w:p>
    <w:p w14:paraId="6F377075" w14:textId="77777777" w:rsidR="00BA06B5" w:rsidRDefault="00931E88" w:rsidP="00280B1C">
      <w:pPr>
        <w:pStyle w:val="Paragraphedeliste"/>
        <w:numPr>
          <w:ilvl w:val="0"/>
          <w:numId w:val="2"/>
        </w:numPr>
        <w:spacing w:before="60" w:after="60" w:line="276" w:lineRule="auto"/>
      </w:pPr>
      <w:r>
        <w:rPr>
          <w:color w:val="1A1A1A"/>
        </w:rPr>
        <w:t xml:space="preserve">Les réformes </w:t>
      </w:r>
      <w:proofErr w:type="gramStart"/>
      <w:r>
        <w:rPr>
          <w:color w:val="1A1A1A"/>
        </w:rPr>
        <w:t>continues</w:t>
      </w:r>
      <w:proofErr w:type="gramEnd"/>
      <w:r>
        <w:rPr>
          <w:color w:val="1A1A1A"/>
        </w:rPr>
        <w:t xml:space="preserve"> du droit OHADA qui ont enrichi et modifié les Actes Uniformes auxquels se réfèrent les tribunaux de commerce ;</w:t>
      </w:r>
    </w:p>
    <w:p w14:paraId="3CE231AA" w14:textId="77777777" w:rsidR="00BA06B5" w:rsidRDefault="00931E88" w:rsidP="00280B1C">
      <w:pPr>
        <w:pStyle w:val="Paragraphedeliste"/>
        <w:numPr>
          <w:ilvl w:val="0"/>
          <w:numId w:val="2"/>
        </w:numPr>
        <w:spacing w:before="60" w:after="60" w:line="276" w:lineRule="auto"/>
      </w:pPr>
      <w:r>
        <w:rPr>
          <w:color w:val="1A1A1A"/>
        </w:rPr>
        <w:t>Les contraintes de ressources humaines et matérielles susceptibles d'affecter la qualité et la célérité des décisions rendues ;</w:t>
      </w:r>
    </w:p>
    <w:p w14:paraId="4C9815A8" w14:textId="77777777" w:rsidR="00BA06B5" w:rsidRDefault="00931E88" w:rsidP="00280B1C">
      <w:pPr>
        <w:pStyle w:val="Paragraphedeliste"/>
        <w:numPr>
          <w:ilvl w:val="0"/>
          <w:numId w:val="2"/>
        </w:numPr>
        <w:spacing w:before="60" w:after="60" w:line="276" w:lineRule="auto"/>
      </w:pPr>
      <w:r>
        <w:rPr>
          <w:color w:val="1A1A1A"/>
        </w:rPr>
        <w:t>La nécessité d'aligner la procédure commerciale sur les meilleures pratiques internationales pour renforcer la confiance des investisseurs ;</w:t>
      </w:r>
    </w:p>
    <w:p w14:paraId="3455B5F8" w14:textId="255FE2BD" w:rsidR="00BA06B5" w:rsidRDefault="00931E88" w:rsidP="00280B1C">
      <w:pPr>
        <w:pStyle w:val="Paragraphedeliste"/>
        <w:numPr>
          <w:ilvl w:val="0"/>
          <w:numId w:val="2"/>
        </w:numPr>
        <w:spacing w:before="60" w:after="60" w:line="276" w:lineRule="auto"/>
      </w:pPr>
      <w:r>
        <w:rPr>
          <w:color w:val="1A1A1A"/>
        </w:rPr>
        <w:t xml:space="preserve">Les engagements du Tchad dans le </w:t>
      </w:r>
      <w:r w:rsidR="00DC6EC4">
        <w:rPr>
          <w:color w:val="1A1A1A"/>
        </w:rPr>
        <w:t xml:space="preserve">l’amélioration du </w:t>
      </w:r>
      <w:proofErr w:type="spellStart"/>
      <w:r w:rsidR="00DC6EC4">
        <w:rPr>
          <w:color w:val="1A1A1A"/>
        </w:rPr>
        <w:t>cliamt</w:t>
      </w:r>
      <w:proofErr w:type="spellEnd"/>
      <w:r>
        <w:rPr>
          <w:color w:val="1A1A1A"/>
        </w:rPr>
        <w:t xml:space="preserve"> des affaires.</w:t>
      </w:r>
    </w:p>
    <w:p w14:paraId="4D89B23C" w14:textId="50A948C1" w:rsidR="00BA06B5" w:rsidRDefault="00931E88" w:rsidP="00280B1C">
      <w:pPr>
        <w:spacing w:before="80" w:after="80" w:line="276" w:lineRule="auto"/>
        <w:jc w:val="both"/>
      </w:pPr>
      <w:r>
        <w:rPr>
          <w:color w:val="1A1A1A"/>
        </w:rPr>
        <w:t>Dans ce contexte, le</w:t>
      </w:r>
      <w:r w:rsidR="00280B1C">
        <w:rPr>
          <w:color w:val="1A1A1A"/>
        </w:rPr>
        <w:t xml:space="preserve"> Ministère du Commerce et de l’Industrie et le</w:t>
      </w:r>
      <w:r>
        <w:rPr>
          <w:color w:val="1A1A1A"/>
        </w:rPr>
        <w:t xml:space="preserve"> Ministère de la Justice et des Droits Humains initie</w:t>
      </w:r>
      <w:r w:rsidR="00DC6EC4">
        <w:rPr>
          <w:color w:val="1A1A1A"/>
        </w:rPr>
        <w:t>nt</w:t>
      </w:r>
      <w:r>
        <w:rPr>
          <w:color w:val="1A1A1A"/>
        </w:rPr>
        <w:t xml:space="preserve"> </w:t>
      </w:r>
      <w:r w:rsidR="00280B1C">
        <w:rPr>
          <w:color w:val="1A1A1A"/>
        </w:rPr>
        <w:t xml:space="preserve">conjointement </w:t>
      </w:r>
      <w:r>
        <w:rPr>
          <w:color w:val="1A1A1A"/>
        </w:rPr>
        <w:t>la présente mission de diagnostic et d'évaluation, afin de disposer d'une base factuelle solide pour orienter d'éventuelles réformes législatives et institutionnelles de la justice commerciale tchadienne.</w:t>
      </w:r>
    </w:p>
    <w:p w14:paraId="0A0BDECB" w14:textId="536FD0C9" w:rsidR="00BA06B5" w:rsidRDefault="00931E88" w:rsidP="00280B1C">
      <w:pPr>
        <w:pStyle w:val="Titre1"/>
        <w:pBdr>
          <w:bottom w:val="single" w:sz="8" w:space="4" w:color="C9A84C"/>
        </w:pBdr>
      </w:pPr>
      <w:r>
        <w:rPr>
          <w:color w:val="1F4E79"/>
        </w:rPr>
        <w:t>II. OBJECTIFS DE LA MISSION</w:t>
      </w:r>
    </w:p>
    <w:p w14:paraId="046EBE42" w14:textId="77777777" w:rsidR="00BA06B5" w:rsidRDefault="00931E88" w:rsidP="0011439E">
      <w:pPr>
        <w:pStyle w:val="Titre2"/>
        <w:spacing w:before="0" w:after="120" w:line="276" w:lineRule="auto"/>
      </w:pPr>
      <w:r>
        <w:rPr>
          <w:color w:val="2E75B6"/>
        </w:rPr>
        <w:t>2.1 Objectif général</w:t>
      </w:r>
    </w:p>
    <w:p w14:paraId="4B5B03CC" w14:textId="1362681F" w:rsidR="00BA06B5" w:rsidRDefault="00931E88" w:rsidP="00384B4E">
      <w:pPr>
        <w:spacing w:after="120" w:line="276" w:lineRule="auto"/>
        <w:jc w:val="both"/>
      </w:pPr>
      <w:r>
        <w:rPr>
          <w:color w:val="1A1A1A"/>
        </w:rPr>
        <w:t xml:space="preserve">Réaliser un diagnostic complet du cadre opérationnel des tribunaux de commerce au Tchad et </w:t>
      </w:r>
      <w:r w:rsidR="00DC6EC4">
        <w:rPr>
          <w:color w:val="1A1A1A"/>
        </w:rPr>
        <w:t>une analyse du cadre légal et règlementaire encadrant la procédure commerciale de la saisine à l’exécution finale de la décision</w:t>
      </w:r>
      <w:r>
        <w:rPr>
          <w:color w:val="1A1A1A"/>
        </w:rPr>
        <w:t xml:space="preserve">, en vue </w:t>
      </w:r>
      <w:r w:rsidR="00DC6EC4">
        <w:rPr>
          <w:color w:val="1A1A1A"/>
        </w:rPr>
        <w:t>d’une amélioration significative du</w:t>
      </w:r>
      <w:r>
        <w:rPr>
          <w:color w:val="1A1A1A"/>
        </w:rPr>
        <w:t xml:space="preserve"> climat des affaires à travers une justice commerciale plus efficace, spécialisée</w:t>
      </w:r>
      <w:r w:rsidR="00DC6EC4">
        <w:rPr>
          <w:color w:val="1A1A1A"/>
        </w:rPr>
        <w:t xml:space="preserve">, </w:t>
      </w:r>
      <w:r>
        <w:rPr>
          <w:color w:val="1A1A1A"/>
        </w:rPr>
        <w:t>accessible</w:t>
      </w:r>
      <w:r w:rsidR="00DC6EC4">
        <w:rPr>
          <w:color w:val="1A1A1A"/>
        </w:rPr>
        <w:t xml:space="preserve"> à même de rassurer les investisseurs nationaux et étrangers</w:t>
      </w:r>
      <w:r>
        <w:rPr>
          <w:color w:val="1A1A1A"/>
        </w:rPr>
        <w:t>.</w:t>
      </w:r>
    </w:p>
    <w:p w14:paraId="7DAD7ADA" w14:textId="77777777" w:rsidR="00BA06B5" w:rsidRDefault="00931E88" w:rsidP="0011439E">
      <w:pPr>
        <w:pStyle w:val="Titre2"/>
        <w:spacing w:before="0" w:after="120" w:line="276" w:lineRule="auto"/>
      </w:pPr>
      <w:r>
        <w:rPr>
          <w:color w:val="2E75B6"/>
        </w:rPr>
        <w:t>2.2 Objectifs spécifiques</w:t>
      </w:r>
    </w:p>
    <w:p w14:paraId="095618A1" w14:textId="17AD972A" w:rsidR="00BA06B5" w:rsidRDefault="00931E88" w:rsidP="00384B4E">
      <w:pPr>
        <w:spacing w:after="120" w:line="276" w:lineRule="auto"/>
        <w:jc w:val="both"/>
      </w:pPr>
      <w:r>
        <w:rPr>
          <w:color w:val="1A1A1A"/>
        </w:rPr>
        <w:t>La mission poursuit les objectifs spécifiques suivants :</w:t>
      </w:r>
    </w:p>
    <w:p w14:paraId="08F0904A" w14:textId="77777777" w:rsidR="003C65B1" w:rsidRPr="003C65B1" w:rsidRDefault="003C65B1" w:rsidP="003C65B1">
      <w:pPr>
        <w:numPr>
          <w:ilvl w:val="0"/>
          <w:numId w:val="4"/>
        </w:numPr>
        <w:spacing w:before="100" w:beforeAutospacing="1" w:after="100" w:afterAutospacing="1"/>
        <w:jc w:val="both"/>
        <w:rPr>
          <w:color w:val="1A1A1A"/>
        </w:rPr>
      </w:pPr>
      <w:r w:rsidRPr="003C65B1">
        <w:rPr>
          <w:b/>
          <w:bCs/>
          <w:color w:val="1A1A1A"/>
        </w:rPr>
        <w:t>Analyser le cadre juridique existant</w:t>
      </w:r>
      <w:r w:rsidRPr="003C65B1">
        <w:rPr>
          <w:color w:val="1A1A1A"/>
        </w:rPr>
        <w:t xml:space="preserve"> (Ordonnance N°009/PR/2004 et Loi N°028/PR/2020) au regard des évolutions nationales, des réformes OHADA et des exigences d’efficacité du système judiciaire. </w:t>
      </w:r>
    </w:p>
    <w:p w14:paraId="0FDC2048" w14:textId="77777777" w:rsidR="003C65B1" w:rsidRPr="003C65B1" w:rsidRDefault="003C65B1" w:rsidP="003C65B1">
      <w:pPr>
        <w:numPr>
          <w:ilvl w:val="0"/>
          <w:numId w:val="4"/>
        </w:numPr>
        <w:spacing w:before="100" w:beforeAutospacing="1" w:after="100" w:afterAutospacing="1"/>
        <w:jc w:val="both"/>
        <w:rPr>
          <w:color w:val="1A1A1A"/>
        </w:rPr>
      </w:pPr>
      <w:r w:rsidRPr="003C65B1">
        <w:rPr>
          <w:b/>
          <w:bCs/>
          <w:color w:val="1A1A1A"/>
        </w:rPr>
        <w:lastRenderedPageBreak/>
        <w:t>Évaluer le fonctionnement des tribunaux de commerce</w:t>
      </w:r>
      <w:r w:rsidRPr="003C65B1">
        <w:rPr>
          <w:color w:val="1A1A1A"/>
        </w:rPr>
        <w:t xml:space="preserve">, en examinant leur organisation, leurs ressources humaines et matérielles, la gestion des dossiers, les délais et coûts d’accès aux services, ainsi que la qualité des décisions rendues. </w:t>
      </w:r>
    </w:p>
    <w:p w14:paraId="0ACF22E1" w14:textId="77777777" w:rsidR="003C65B1" w:rsidRPr="003C65B1" w:rsidRDefault="003C65B1" w:rsidP="003C65B1">
      <w:pPr>
        <w:numPr>
          <w:ilvl w:val="0"/>
          <w:numId w:val="4"/>
        </w:numPr>
        <w:spacing w:before="100" w:beforeAutospacing="1" w:after="100" w:afterAutospacing="1"/>
        <w:jc w:val="both"/>
        <w:rPr>
          <w:color w:val="1A1A1A"/>
        </w:rPr>
      </w:pPr>
      <w:r w:rsidRPr="003C65B1">
        <w:rPr>
          <w:b/>
          <w:bCs/>
          <w:color w:val="1A1A1A"/>
        </w:rPr>
        <w:t>Apprécier la gouvernance judiciaire et les garanties d’intégrité</w:t>
      </w:r>
      <w:r w:rsidRPr="003C65B1">
        <w:rPr>
          <w:color w:val="1A1A1A"/>
        </w:rPr>
        <w:t xml:space="preserve">, notamment le respect des principes d’éthique et de déontologie, ainsi que le degré d’indépendance des juges et de l’institution judiciaire. </w:t>
      </w:r>
    </w:p>
    <w:p w14:paraId="4779D878" w14:textId="77777777" w:rsidR="003C65B1" w:rsidRPr="003C65B1" w:rsidRDefault="003C65B1" w:rsidP="003C65B1">
      <w:pPr>
        <w:numPr>
          <w:ilvl w:val="0"/>
          <w:numId w:val="4"/>
        </w:numPr>
        <w:spacing w:before="100" w:beforeAutospacing="1" w:after="100" w:afterAutospacing="1"/>
        <w:jc w:val="both"/>
        <w:rPr>
          <w:color w:val="1A1A1A"/>
        </w:rPr>
      </w:pPr>
      <w:r w:rsidRPr="003C65B1">
        <w:rPr>
          <w:b/>
          <w:bCs/>
          <w:color w:val="1A1A1A"/>
        </w:rPr>
        <w:t>Analyser les aspects digitaux du système judiciaire</w:t>
      </w:r>
      <w:r w:rsidRPr="003C65B1">
        <w:rPr>
          <w:color w:val="1A1A1A"/>
        </w:rPr>
        <w:t xml:space="preserve">, incluant le niveau de digitalisation des procédures, les systèmes de gestion électronique des dossiers, l’accès en ligne aux services, l’interopérabilité des systèmes et l’usage des technologies innovantes, y compris l’intelligence artificielle. </w:t>
      </w:r>
    </w:p>
    <w:p w14:paraId="28725F6B" w14:textId="77777777" w:rsidR="003C65B1" w:rsidRPr="003C65B1" w:rsidRDefault="003C65B1" w:rsidP="003C65B1">
      <w:pPr>
        <w:numPr>
          <w:ilvl w:val="0"/>
          <w:numId w:val="4"/>
        </w:numPr>
        <w:spacing w:before="100" w:beforeAutospacing="1" w:after="100" w:afterAutospacing="1"/>
        <w:jc w:val="both"/>
        <w:rPr>
          <w:color w:val="1A1A1A"/>
        </w:rPr>
      </w:pPr>
      <w:r w:rsidRPr="003C65B1">
        <w:rPr>
          <w:b/>
          <w:bCs/>
          <w:color w:val="1A1A1A"/>
        </w:rPr>
        <w:t>Évaluer les compétences et capacités des ressources humaines</w:t>
      </w:r>
      <w:r w:rsidRPr="003C65B1">
        <w:rPr>
          <w:color w:val="1A1A1A"/>
        </w:rPr>
        <w:t xml:space="preserve">, notamment des magistrats, juges consulaires et personnels de greffe (profil, formation, effectifs, besoins de renforcement). </w:t>
      </w:r>
    </w:p>
    <w:p w14:paraId="46C34DF5" w14:textId="77777777" w:rsidR="003C65B1" w:rsidRPr="003C65B1" w:rsidRDefault="003C65B1" w:rsidP="003C65B1">
      <w:pPr>
        <w:numPr>
          <w:ilvl w:val="0"/>
          <w:numId w:val="4"/>
        </w:numPr>
        <w:spacing w:before="100" w:beforeAutospacing="1" w:after="100" w:afterAutospacing="1"/>
        <w:jc w:val="both"/>
        <w:rPr>
          <w:color w:val="1A1A1A"/>
        </w:rPr>
      </w:pPr>
      <w:r w:rsidRPr="003C65B1">
        <w:rPr>
          <w:b/>
          <w:bCs/>
          <w:color w:val="1A1A1A"/>
        </w:rPr>
        <w:t>Examiner l’accessibilité et l’expérience des usagers</w:t>
      </w:r>
      <w:r w:rsidRPr="003C65B1">
        <w:rPr>
          <w:color w:val="1A1A1A"/>
        </w:rPr>
        <w:t xml:space="preserve">, en termes d’accès géographique, financier et informationnel, ainsi que la qualité des services rendus aux entreprises et investisseurs. </w:t>
      </w:r>
    </w:p>
    <w:p w14:paraId="4D9291C9" w14:textId="77777777" w:rsidR="003C65B1" w:rsidRPr="003C65B1" w:rsidRDefault="003C65B1" w:rsidP="003C65B1">
      <w:pPr>
        <w:numPr>
          <w:ilvl w:val="0"/>
          <w:numId w:val="4"/>
        </w:numPr>
        <w:spacing w:before="100" w:beforeAutospacing="1" w:after="100" w:afterAutospacing="1"/>
        <w:jc w:val="both"/>
        <w:rPr>
          <w:color w:val="1A1A1A"/>
        </w:rPr>
      </w:pPr>
      <w:r w:rsidRPr="003C65B1">
        <w:rPr>
          <w:b/>
          <w:bCs/>
          <w:color w:val="1A1A1A"/>
        </w:rPr>
        <w:t>Analyser les mécanismes de règlement des différends commerciaux</w:t>
      </w:r>
      <w:r w:rsidRPr="003C65B1">
        <w:rPr>
          <w:color w:val="1A1A1A"/>
        </w:rPr>
        <w:t xml:space="preserve">, y compris les modes alternatifs (médiation, arbitrage, conciliation) et leur articulation avec les juridictions commerciales. </w:t>
      </w:r>
    </w:p>
    <w:p w14:paraId="0AEFA770" w14:textId="77777777" w:rsidR="003C65B1" w:rsidRPr="003C65B1" w:rsidRDefault="003C65B1" w:rsidP="003C65B1">
      <w:pPr>
        <w:numPr>
          <w:ilvl w:val="0"/>
          <w:numId w:val="4"/>
        </w:numPr>
        <w:spacing w:before="100" w:beforeAutospacing="1" w:after="100" w:afterAutospacing="1"/>
        <w:jc w:val="both"/>
        <w:rPr>
          <w:color w:val="1A1A1A"/>
        </w:rPr>
      </w:pPr>
      <w:r w:rsidRPr="003C65B1">
        <w:rPr>
          <w:b/>
          <w:bCs/>
          <w:color w:val="1A1A1A"/>
        </w:rPr>
        <w:t>Évaluer les systèmes d’information et de suivi de la performance</w:t>
      </w:r>
      <w:r w:rsidRPr="003C65B1">
        <w:rPr>
          <w:color w:val="1A1A1A"/>
        </w:rPr>
        <w:t xml:space="preserve">, notamment la disponibilité et l’utilisation des données judiciaires pour le pilotage, la transparence et la prise de décision. </w:t>
      </w:r>
    </w:p>
    <w:p w14:paraId="26F717E1" w14:textId="77777777" w:rsidR="003C65B1" w:rsidRPr="003C65B1" w:rsidRDefault="003C65B1" w:rsidP="003C65B1">
      <w:pPr>
        <w:numPr>
          <w:ilvl w:val="0"/>
          <w:numId w:val="4"/>
        </w:numPr>
        <w:spacing w:before="100" w:beforeAutospacing="1" w:after="100" w:afterAutospacing="1"/>
        <w:jc w:val="both"/>
        <w:rPr>
          <w:color w:val="1A1A1A"/>
        </w:rPr>
      </w:pPr>
      <w:r w:rsidRPr="003C65B1">
        <w:rPr>
          <w:b/>
          <w:bCs/>
          <w:color w:val="1A1A1A"/>
        </w:rPr>
        <w:t>Identifier les principales contraintes, lacunes et dysfonctionnements</w:t>
      </w:r>
      <w:r w:rsidRPr="003C65B1">
        <w:rPr>
          <w:color w:val="1A1A1A"/>
        </w:rPr>
        <w:t xml:space="preserve"> affectant l’efficacité du système judiciaire commercial. </w:t>
      </w:r>
    </w:p>
    <w:p w14:paraId="705BE24F" w14:textId="77777777" w:rsidR="003C65B1" w:rsidRPr="003C65B1" w:rsidRDefault="003C65B1" w:rsidP="003C65B1">
      <w:pPr>
        <w:numPr>
          <w:ilvl w:val="0"/>
          <w:numId w:val="4"/>
        </w:numPr>
        <w:spacing w:before="100" w:beforeAutospacing="1" w:after="100" w:afterAutospacing="1"/>
        <w:jc w:val="both"/>
        <w:rPr>
          <w:color w:val="1A1A1A"/>
        </w:rPr>
      </w:pPr>
      <w:r w:rsidRPr="003C65B1">
        <w:rPr>
          <w:b/>
          <w:bCs/>
          <w:color w:val="1A1A1A"/>
        </w:rPr>
        <w:t>Formuler des recommandations opérationnelles et proposer un plan d’action</w:t>
      </w:r>
      <w:r w:rsidRPr="003C65B1">
        <w:rPr>
          <w:color w:val="1A1A1A"/>
        </w:rPr>
        <w:t xml:space="preserve">, incluant un modèle institutionnel renforcé, des mesures de modernisation (y compris digitales) et une feuille de route de mise en œuvre. </w:t>
      </w:r>
    </w:p>
    <w:p w14:paraId="478E8607" w14:textId="09E01A06" w:rsidR="00BA06B5" w:rsidRDefault="00931E88" w:rsidP="0011439E">
      <w:pPr>
        <w:pStyle w:val="Titre1"/>
        <w:pBdr>
          <w:bottom w:val="single" w:sz="8" w:space="4" w:color="C9A84C"/>
        </w:pBdr>
      </w:pPr>
      <w:r>
        <w:rPr>
          <w:color w:val="1F4E79"/>
        </w:rPr>
        <w:t>III. RÉSULTATS ATTENDUS</w:t>
      </w:r>
    </w:p>
    <w:p w14:paraId="6071ED29" w14:textId="7EEF2DCF" w:rsidR="00BA06B5" w:rsidRDefault="00931E88" w:rsidP="0011439E">
      <w:pPr>
        <w:pStyle w:val="Titre2"/>
        <w:spacing w:before="0" w:after="120" w:line="276" w:lineRule="auto"/>
        <w:jc w:val="both"/>
      </w:pPr>
      <w:r>
        <w:rPr>
          <w:color w:val="2E75B6"/>
        </w:rPr>
        <w:t>3.1 Résultat 1 : Amélioration du cadre organisationnel et fonctionnel des juridictions commerciales</w:t>
      </w:r>
    </w:p>
    <w:p w14:paraId="0DA42C7E" w14:textId="77777777" w:rsidR="00BA06B5" w:rsidRDefault="00931E88" w:rsidP="0011439E">
      <w:pPr>
        <w:spacing w:after="120" w:line="276" w:lineRule="auto"/>
        <w:jc w:val="both"/>
      </w:pPr>
      <w:r>
        <w:rPr>
          <w:color w:val="1A1A1A"/>
        </w:rPr>
        <w:t>À l'issue de la mission, les livrables suivants devront permettre d'atteindre ce résultat :</w:t>
      </w:r>
    </w:p>
    <w:p w14:paraId="6E4B9525" w14:textId="42E1DEA9" w:rsidR="00BA06B5" w:rsidRDefault="00931E88" w:rsidP="0011439E">
      <w:pPr>
        <w:pStyle w:val="Paragraphedeliste"/>
        <w:numPr>
          <w:ilvl w:val="0"/>
          <w:numId w:val="2"/>
        </w:numPr>
        <w:spacing w:after="120" w:line="276" w:lineRule="auto"/>
        <w:jc w:val="both"/>
      </w:pPr>
      <w:r>
        <w:rPr>
          <w:color w:val="1A1A1A"/>
        </w:rPr>
        <w:t>Un état des lieux documenté de l'organisation actuelle des tribunaux de commerce, incluant leur ressort territorial, leur composition effective, leurs locaux et équipements</w:t>
      </w:r>
      <w:r w:rsidR="004F1B4F">
        <w:rPr>
          <w:color w:val="1A1A1A"/>
        </w:rPr>
        <w:t>. Cet état des lieux devra proposer une revue règlementaire pour faire ressortir les forces et faiblesses du cadre légal existant</w:t>
      </w:r>
      <w:r>
        <w:rPr>
          <w:color w:val="1A1A1A"/>
        </w:rPr>
        <w:t xml:space="preserve"> ;</w:t>
      </w:r>
    </w:p>
    <w:p w14:paraId="7D3BDEA4" w14:textId="77777777" w:rsidR="004F1B4F" w:rsidRDefault="004F1B4F" w:rsidP="0011439E">
      <w:pPr>
        <w:pStyle w:val="Paragraphedeliste"/>
        <w:numPr>
          <w:ilvl w:val="0"/>
          <w:numId w:val="2"/>
        </w:numPr>
        <w:spacing w:after="120" w:line="276" w:lineRule="auto"/>
        <w:jc w:val="both"/>
      </w:pPr>
      <w:r>
        <w:t>Une cartographie des flux des procédures commerciales (dépôt, instruction, jugement et phase d’exécution), incluant les acteurs impliqués, avec identification des goulots d’étranglement</w:t>
      </w:r>
      <w:r>
        <w:t> ;</w:t>
      </w:r>
    </w:p>
    <w:p w14:paraId="3498DEAF" w14:textId="77362059" w:rsidR="004F1B4F" w:rsidRDefault="004F1B4F" w:rsidP="0011439E">
      <w:pPr>
        <w:pStyle w:val="Paragraphedeliste"/>
        <w:numPr>
          <w:ilvl w:val="0"/>
          <w:numId w:val="2"/>
        </w:numPr>
        <w:spacing w:after="120" w:line="276" w:lineRule="auto"/>
        <w:jc w:val="both"/>
      </w:pPr>
      <w:r>
        <w:t>Une analyse des procédures d’exécution des décisions de justice et des voies de recours ainsi que des mécanismes disponibles en la matière pour faire ressortir les forces et les faiblesses ;</w:t>
      </w:r>
    </w:p>
    <w:p w14:paraId="3E735A97" w14:textId="165295C7" w:rsidR="00BA06B5" w:rsidRDefault="00931E88" w:rsidP="0011439E">
      <w:pPr>
        <w:pStyle w:val="Paragraphedeliste"/>
        <w:numPr>
          <w:ilvl w:val="0"/>
          <w:numId w:val="2"/>
        </w:numPr>
        <w:spacing w:after="120" w:line="276" w:lineRule="auto"/>
        <w:jc w:val="both"/>
      </w:pPr>
      <w:r>
        <w:rPr>
          <w:color w:val="1A1A1A"/>
        </w:rPr>
        <w:t xml:space="preserve">Une </w:t>
      </w:r>
      <w:r w:rsidR="004F1B4F">
        <w:rPr>
          <w:color w:val="1A1A1A"/>
        </w:rPr>
        <w:t>analyse des performances actuelles des tribunaux (délais moyens par étape, nombres de renvois, les coûts associés aux affaires commerciales et une analyse comparée avec les standards OHADA et aux</w:t>
      </w:r>
      <w:r>
        <w:rPr>
          <w:color w:val="1A1A1A"/>
        </w:rPr>
        <w:t xml:space="preserve"> </w:t>
      </w:r>
      <w:r w:rsidR="004F1B4F">
        <w:rPr>
          <w:color w:val="1A1A1A"/>
        </w:rPr>
        <w:t xml:space="preserve">bonnes pratiques régionales </w:t>
      </w:r>
      <w:r>
        <w:rPr>
          <w:color w:val="1A1A1A"/>
        </w:rPr>
        <w:t>;</w:t>
      </w:r>
    </w:p>
    <w:p w14:paraId="635BD972" w14:textId="77777777" w:rsidR="004F1B4F" w:rsidRDefault="004F1B4F" w:rsidP="00367A2B">
      <w:pPr>
        <w:pStyle w:val="Paragraphedeliste"/>
        <w:numPr>
          <w:ilvl w:val="0"/>
          <w:numId w:val="2"/>
        </w:numPr>
        <w:spacing w:after="120" w:line="276" w:lineRule="auto"/>
        <w:jc w:val="both"/>
      </w:pPr>
      <w:r>
        <w:rPr>
          <w:rStyle w:val="lev"/>
        </w:rPr>
        <w:t>Des recommandations opérationnelles pour l’optimisation et la digitalisation intégrale des procédures</w:t>
      </w:r>
      <w:r>
        <w:t xml:space="preserve">, incluant notamment : la mise en place de la saisine </w:t>
      </w:r>
      <w:r>
        <w:lastRenderedPageBreak/>
        <w:t>électronique, l’organisation d’audiences virtuelles, l’attribution automatisée et aléatoire des dossiers aux juges, la numérisation complète des actes et documents administratifs, ainsi que l’automatisation des différentes étapes de traitement des affaires, en vue d’améliorer l’efficacité, la transparence et la gestion des dossiers</w:t>
      </w:r>
      <w:r>
        <w:t> ;</w:t>
      </w:r>
    </w:p>
    <w:p w14:paraId="2CDAA4CC" w14:textId="255C5CAB" w:rsidR="00BA06B5" w:rsidRPr="00367A2B" w:rsidRDefault="00931E88" w:rsidP="00367A2B">
      <w:pPr>
        <w:pStyle w:val="Paragraphedeliste"/>
        <w:numPr>
          <w:ilvl w:val="0"/>
          <w:numId w:val="2"/>
        </w:numPr>
        <w:spacing w:after="120" w:line="276" w:lineRule="auto"/>
        <w:jc w:val="both"/>
      </w:pPr>
      <w:r>
        <w:rPr>
          <w:color w:val="1A1A1A"/>
        </w:rPr>
        <w:t>Des propositions de renforcement des mécanismes de supervision et de contrôle de la qualité des décisions juridictionnelles.</w:t>
      </w:r>
    </w:p>
    <w:p w14:paraId="48EE332E" w14:textId="77777777" w:rsidR="00367A2B" w:rsidRDefault="00367A2B" w:rsidP="00367A2B">
      <w:pPr>
        <w:pStyle w:val="Paragraphedeliste"/>
        <w:spacing w:after="120" w:line="276" w:lineRule="auto"/>
        <w:ind w:left="720"/>
        <w:jc w:val="both"/>
      </w:pPr>
    </w:p>
    <w:p w14:paraId="67F17D78" w14:textId="4DC363E9" w:rsidR="00BA06B5" w:rsidRDefault="00931E88" w:rsidP="00367A2B">
      <w:pPr>
        <w:pStyle w:val="Titre2"/>
        <w:spacing w:before="0" w:after="120" w:line="276" w:lineRule="auto"/>
        <w:jc w:val="both"/>
      </w:pPr>
      <w:r>
        <w:rPr>
          <w:color w:val="2E75B6"/>
        </w:rPr>
        <w:t>3.2 Résultat 2 : Qualité et spécialisation des ressources humaines des juridictions commerciales</w:t>
      </w:r>
    </w:p>
    <w:p w14:paraId="36674B79" w14:textId="77777777" w:rsidR="00BA06B5" w:rsidRDefault="00931E88" w:rsidP="00367A2B">
      <w:pPr>
        <w:spacing w:after="120" w:line="276" w:lineRule="auto"/>
        <w:jc w:val="both"/>
      </w:pPr>
      <w:r>
        <w:rPr>
          <w:color w:val="1A1A1A"/>
        </w:rPr>
        <w:t>La mission devra également contribuer à l'amélioration du capital humain des juridictions commerciales à travers :</w:t>
      </w:r>
    </w:p>
    <w:p w14:paraId="33C7237F" w14:textId="77777777" w:rsidR="00BA06B5" w:rsidRDefault="00931E88" w:rsidP="00367A2B">
      <w:pPr>
        <w:pStyle w:val="Paragraphedeliste"/>
        <w:numPr>
          <w:ilvl w:val="0"/>
          <w:numId w:val="2"/>
        </w:numPr>
        <w:spacing w:after="120" w:line="276" w:lineRule="auto"/>
        <w:jc w:val="both"/>
      </w:pPr>
      <w:r>
        <w:rPr>
          <w:color w:val="1A1A1A"/>
        </w:rPr>
        <w:t>Un inventaire qualifié des ressources humaines en place : magistrats professionnels, juges consulaires, greffiers et personnel administratif ;</w:t>
      </w:r>
    </w:p>
    <w:p w14:paraId="79A97E00" w14:textId="5A5BC95F" w:rsidR="00BA06B5" w:rsidRDefault="004F1B4F" w:rsidP="00367A2B">
      <w:pPr>
        <w:pStyle w:val="Paragraphedeliste"/>
        <w:numPr>
          <w:ilvl w:val="0"/>
          <w:numId w:val="2"/>
        </w:numPr>
        <w:spacing w:after="120" w:line="276" w:lineRule="auto"/>
        <w:jc w:val="both"/>
      </w:pPr>
      <w:r w:rsidRPr="00CC7273">
        <w:rPr>
          <w:rStyle w:val="lev"/>
          <w:b w:val="0"/>
          <w:bCs w:val="0"/>
        </w:rPr>
        <w:t>Une évaluation des profils, niveaux de formation et expériences professionnelles des juges consulaires</w:t>
      </w:r>
      <w:r w:rsidRPr="00CC7273">
        <w:rPr>
          <w:b/>
          <w:bCs/>
        </w:rPr>
        <w:t>,</w:t>
      </w:r>
      <w:r>
        <w:t xml:space="preserve"> au regard des critères définis aux articles 9 et 10 de l’Ordonnance N°009/PR/2004, ainsi que de leur rôle effectif dans le fonctionnement des juridictions commerciales.</w:t>
      </w:r>
      <w:r>
        <w:br/>
        <w:t>Cette analyse devra permettre de se prononcer sur l’opportunité de réintégrer les juges consulaires dans le système judiciaire commercial, et, le cas échéant, de proposer les modalités de leur réintégration (critères de sélection, procédures de désignation, formation, encadrement et mécanismes d’évaluation)</w:t>
      </w:r>
      <w:r>
        <w:t xml:space="preserve"> </w:t>
      </w:r>
      <w:r w:rsidR="00931E88">
        <w:rPr>
          <w:color w:val="1A1A1A"/>
        </w:rPr>
        <w:t>;</w:t>
      </w:r>
    </w:p>
    <w:p w14:paraId="7653AF0C" w14:textId="77777777" w:rsidR="00BA06B5" w:rsidRDefault="00931E88" w:rsidP="00367A2B">
      <w:pPr>
        <w:pStyle w:val="Paragraphedeliste"/>
        <w:numPr>
          <w:ilvl w:val="0"/>
          <w:numId w:val="2"/>
        </w:numPr>
        <w:spacing w:after="120" w:line="276" w:lineRule="auto"/>
        <w:jc w:val="both"/>
      </w:pPr>
      <w:r>
        <w:rPr>
          <w:color w:val="1A1A1A"/>
        </w:rPr>
        <w:t>Une analyse des besoins en formation continue, notamment en droit OHADA, en droit des affaires international et en techniques de gestion des audiences ;</w:t>
      </w:r>
    </w:p>
    <w:p w14:paraId="036F52AE" w14:textId="77777777" w:rsidR="00BA06B5" w:rsidRDefault="00931E88" w:rsidP="00367A2B">
      <w:pPr>
        <w:pStyle w:val="Paragraphedeliste"/>
        <w:numPr>
          <w:ilvl w:val="0"/>
          <w:numId w:val="2"/>
        </w:numPr>
        <w:spacing w:after="120" w:line="276" w:lineRule="auto"/>
        <w:jc w:val="both"/>
      </w:pPr>
      <w:r>
        <w:rPr>
          <w:color w:val="1A1A1A"/>
        </w:rPr>
        <w:t>Des recommandations pour un programme structuré de renforcement des capacités des acteurs de la justice commerciale ;</w:t>
      </w:r>
    </w:p>
    <w:p w14:paraId="60C37F4D" w14:textId="16320A4F" w:rsidR="00BA06B5" w:rsidRDefault="00931E88" w:rsidP="00367A2B">
      <w:pPr>
        <w:pStyle w:val="Paragraphedeliste"/>
        <w:numPr>
          <w:ilvl w:val="0"/>
          <w:numId w:val="2"/>
        </w:numPr>
        <w:spacing w:after="120" w:line="276" w:lineRule="auto"/>
        <w:jc w:val="both"/>
      </w:pPr>
      <w:r>
        <w:rPr>
          <w:color w:val="1A1A1A"/>
        </w:rPr>
        <w:t xml:space="preserve">Des propositions pour l'amélioration du processus de désignation et de renouvellement des juges consulaires, en </w:t>
      </w:r>
      <w:r w:rsidR="00367A2B">
        <w:rPr>
          <w:color w:val="1A1A1A"/>
        </w:rPr>
        <w:t xml:space="preserve">collaboration </w:t>
      </w:r>
      <w:r>
        <w:rPr>
          <w:color w:val="1A1A1A"/>
        </w:rPr>
        <w:t>avec la CCIAMA ;</w:t>
      </w:r>
    </w:p>
    <w:p w14:paraId="0A2ED911" w14:textId="2B6A1483" w:rsidR="00367A2B" w:rsidRPr="006F6E6A" w:rsidRDefault="00931E88" w:rsidP="003C65B1">
      <w:pPr>
        <w:pStyle w:val="Paragraphedeliste"/>
        <w:numPr>
          <w:ilvl w:val="0"/>
          <w:numId w:val="2"/>
        </w:numPr>
        <w:spacing w:after="120" w:line="276" w:lineRule="auto"/>
        <w:jc w:val="both"/>
      </w:pPr>
      <w:r>
        <w:rPr>
          <w:color w:val="1A1A1A"/>
        </w:rPr>
        <w:t>Un mécanisme d'évaluation des performances des juges consulaires et de suivi de leurs obligations d'assiduité conformément à l'article 17 de l'Ordonnance.</w:t>
      </w:r>
    </w:p>
    <w:p w14:paraId="7280CDD6" w14:textId="600AD967" w:rsidR="006F6E6A" w:rsidRPr="006F6E6A" w:rsidRDefault="006F6E6A" w:rsidP="006F6E6A">
      <w:pPr>
        <w:pStyle w:val="Paragraphedeliste"/>
        <w:numPr>
          <w:ilvl w:val="0"/>
          <w:numId w:val="2"/>
        </w:numPr>
        <w:spacing w:before="100" w:beforeAutospacing="1" w:after="100" w:afterAutospacing="1"/>
        <w:jc w:val="both"/>
        <w:rPr>
          <w:color w:val="1A1A1A"/>
        </w:rPr>
      </w:pPr>
      <w:r w:rsidRPr="006F6E6A">
        <w:rPr>
          <w:color w:val="1A1A1A"/>
        </w:rPr>
        <w:t>La proposition d’outils et de mécanismes de suivi des performances des juridictions commerciales, incluant des indicateurs relatifs aux délais de traitement des affaires, au taux de règlement des litiges et à la qualité des décisions rendues ;</w:t>
      </w:r>
    </w:p>
    <w:p w14:paraId="52657C2F" w14:textId="7E0B60AC" w:rsidR="006F6E6A" w:rsidRPr="006F6E6A" w:rsidRDefault="006F6E6A" w:rsidP="006F6E6A">
      <w:pPr>
        <w:pStyle w:val="Paragraphedeliste"/>
        <w:numPr>
          <w:ilvl w:val="0"/>
          <w:numId w:val="2"/>
        </w:numPr>
        <w:spacing w:before="100" w:beforeAutospacing="1" w:after="100" w:afterAutospacing="1"/>
        <w:jc w:val="both"/>
        <w:rPr>
          <w:color w:val="1A1A1A"/>
        </w:rPr>
      </w:pPr>
      <w:r w:rsidRPr="006F6E6A">
        <w:rPr>
          <w:color w:val="1A1A1A"/>
        </w:rPr>
        <w:t>La définition de mécanismes de suivi de la procédure d’exécution des décisions de justice commerciale, visant à mesurer l’effectivité des décisions et à identifier les éventuels goulots d’étranglement ;</w:t>
      </w:r>
    </w:p>
    <w:p w14:paraId="1A59F137" w14:textId="36753F6D" w:rsidR="006F6E6A" w:rsidRPr="006F6E6A" w:rsidRDefault="006F6E6A" w:rsidP="006F6E6A">
      <w:pPr>
        <w:pStyle w:val="Paragraphedeliste"/>
        <w:numPr>
          <w:ilvl w:val="0"/>
          <w:numId w:val="2"/>
        </w:numPr>
        <w:spacing w:before="100" w:beforeAutospacing="1" w:after="100" w:afterAutospacing="1"/>
        <w:jc w:val="both"/>
        <w:rPr>
          <w:color w:val="1A1A1A"/>
        </w:rPr>
      </w:pPr>
      <w:r w:rsidRPr="006F6E6A">
        <w:rPr>
          <w:color w:val="1A1A1A"/>
        </w:rPr>
        <w:t>Des recommandations visant à renforcer la spécialisation des magistrats en matière commerciale, notamment à travers des parcours dédiés et une meilleure affectation des profils formés ;</w:t>
      </w:r>
    </w:p>
    <w:p w14:paraId="0787922B" w14:textId="1C010756" w:rsidR="006F6E6A" w:rsidRPr="006F6E6A" w:rsidRDefault="006F6E6A" w:rsidP="006F6E6A">
      <w:pPr>
        <w:pStyle w:val="Paragraphedeliste"/>
        <w:numPr>
          <w:ilvl w:val="0"/>
          <w:numId w:val="2"/>
        </w:numPr>
        <w:spacing w:before="100" w:beforeAutospacing="1" w:after="100" w:afterAutospacing="1"/>
        <w:jc w:val="both"/>
        <w:rPr>
          <w:color w:val="1A1A1A"/>
        </w:rPr>
      </w:pPr>
      <w:r w:rsidRPr="006F6E6A">
        <w:rPr>
          <w:color w:val="1A1A1A"/>
        </w:rPr>
        <w:t>La proposition de mécanismes de pérennisation des compétences, incluant l’instauration d’une durée minimale d’inamovibilité des magistrats formés et spécialisés en matière commerciale, afin d’assurer la stabilité des juridictions ;</w:t>
      </w:r>
    </w:p>
    <w:p w14:paraId="549DFF6F" w14:textId="77777777" w:rsidR="006F6E6A" w:rsidRDefault="006F6E6A" w:rsidP="006F6E6A">
      <w:pPr>
        <w:spacing w:after="120" w:line="276" w:lineRule="auto"/>
        <w:jc w:val="both"/>
      </w:pPr>
    </w:p>
    <w:p w14:paraId="3B7110C7" w14:textId="59A7229E" w:rsidR="00BA06B5" w:rsidRDefault="00931E88" w:rsidP="00367A2B">
      <w:pPr>
        <w:pStyle w:val="Titre2"/>
        <w:spacing w:before="0" w:after="120" w:line="276" w:lineRule="auto"/>
        <w:jc w:val="both"/>
      </w:pPr>
      <w:r>
        <w:rPr>
          <w:color w:val="2E75B6"/>
        </w:rPr>
        <w:lastRenderedPageBreak/>
        <w:t xml:space="preserve">3.3 Résultat 3 : </w:t>
      </w:r>
      <w:r w:rsidR="006F6E6A">
        <w:rPr>
          <w:color w:val="2E75B6"/>
        </w:rPr>
        <w:t>Renforcement</w:t>
      </w:r>
      <w:r>
        <w:rPr>
          <w:color w:val="2E75B6"/>
        </w:rPr>
        <w:t xml:space="preserve"> du cadre législatif et procédural</w:t>
      </w:r>
    </w:p>
    <w:p w14:paraId="7B9D85A5" w14:textId="69DD3F80" w:rsidR="00BA06B5" w:rsidRDefault="006F6E6A" w:rsidP="00367A2B">
      <w:pPr>
        <w:pStyle w:val="Paragraphedeliste"/>
        <w:numPr>
          <w:ilvl w:val="0"/>
          <w:numId w:val="2"/>
        </w:numPr>
        <w:spacing w:after="120" w:line="276" w:lineRule="auto"/>
        <w:jc w:val="both"/>
      </w:pPr>
      <w:r>
        <w:t xml:space="preserve">Une analyse approfondie des textes existants régissant la justice commerciale, visant à identifier leurs faiblesses, goulots d’étranglement et incohérences pratiques, ainsi que les éventuels vides juridiques susceptibles d’entraver le bon fonctionnement des juridictions commerciales et l’exécution effective des décisions de justice </w:t>
      </w:r>
      <w:r w:rsidR="00931E88">
        <w:rPr>
          <w:color w:val="1A1A1A"/>
        </w:rPr>
        <w:t>;</w:t>
      </w:r>
    </w:p>
    <w:p w14:paraId="651D0599" w14:textId="77777777" w:rsidR="00BA06B5" w:rsidRDefault="00931E88" w:rsidP="00367A2B">
      <w:pPr>
        <w:pStyle w:val="Paragraphedeliste"/>
        <w:numPr>
          <w:ilvl w:val="0"/>
          <w:numId w:val="2"/>
        </w:numPr>
        <w:spacing w:after="120" w:line="276" w:lineRule="auto"/>
        <w:jc w:val="both"/>
      </w:pPr>
      <w:r>
        <w:rPr>
          <w:color w:val="1A1A1A"/>
        </w:rPr>
        <w:t>Une identification précise des dispositions obsolètes, lacunaires ou contradictoires du cadre législatif actuel ;</w:t>
      </w:r>
    </w:p>
    <w:p w14:paraId="256CA5C3" w14:textId="04269FBD" w:rsidR="00BA06B5" w:rsidRDefault="00931E88" w:rsidP="00367A2B">
      <w:pPr>
        <w:pStyle w:val="Paragraphedeliste"/>
        <w:numPr>
          <w:ilvl w:val="0"/>
          <w:numId w:val="2"/>
        </w:numPr>
        <w:spacing w:after="120" w:line="276" w:lineRule="auto"/>
        <w:jc w:val="both"/>
      </w:pPr>
      <w:r>
        <w:rPr>
          <w:color w:val="1A1A1A"/>
        </w:rPr>
        <w:t>Des propositions d'amendements législatifs ou réglementaires dûment motivées et accompagnées de projets de textes</w:t>
      </w:r>
      <w:r w:rsidR="006F6E6A">
        <w:rPr>
          <w:color w:val="1A1A1A"/>
        </w:rPr>
        <w:t xml:space="preserve">, </w:t>
      </w:r>
      <w:r w:rsidR="006F6E6A">
        <w:t>tenant compte des contraintes opérationnelles observées dans la pratique judiciaire</w:t>
      </w:r>
      <w:r>
        <w:rPr>
          <w:color w:val="1A1A1A"/>
        </w:rPr>
        <w:t xml:space="preserve"> ;</w:t>
      </w:r>
    </w:p>
    <w:p w14:paraId="541FE1E3" w14:textId="77777777" w:rsidR="00BA06B5" w:rsidRPr="006F6E6A" w:rsidRDefault="00931E88" w:rsidP="00367A2B">
      <w:pPr>
        <w:pStyle w:val="Paragraphedeliste"/>
        <w:numPr>
          <w:ilvl w:val="0"/>
          <w:numId w:val="2"/>
        </w:numPr>
        <w:spacing w:after="120" w:line="276" w:lineRule="auto"/>
        <w:jc w:val="both"/>
      </w:pPr>
      <w:r>
        <w:rPr>
          <w:color w:val="1A1A1A"/>
        </w:rPr>
        <w:t>Des recommandations pour l'harmonisation de la procédure commerciale avec les exigences du Code de Procédure Civile, Commerciale et Sociale de 2020.</w:t>
      </w:r>
    </w:p>
    <w:p w14:paraId="39F1E402" w14:textId="3FAA32D3" w:rsidR="006F6E6A" w:rsidRPr="006F6E6A" w:rsidRDefault="006F6E6A" w:rsidP="006F6E6A">
      <w:pPr>
        <w:pStyle w:val="Paragraphedeliste"/>
        <w:numPr>
          <w:ilvl w:val="0"/>
          <w:numId w:val="2"/>
        </w:numPr>
        <w:spacing w:after="120" w:line="276" w:lineRule="auto"/>
        <w:jc w:val="both"/>
      </w:pPr>
      <w:r w:rsidRPr="006F6E6A">
        <w:t>Identifier tout autre instrument juridique à mettre en place en vue d’accélérer les procédures de justice commerciale, notamment :</w:t>
      </w:r>
      <w:r>
        <w:t xml:space="preserve"> l</w:t>
      </w:r>
      <w:r w:rsidRPr="006F6E6A">
        <w:t xml:space="preserve">’introduction de procédures simplifiées pour le traitement des litiges de faible montant </w:t>
      </w:r>
      <w:r>
        <w:t xml:space="preserve">et </w:t>
      </w:r>
      <w:r w:rsidRPr="006F6E6A">
        <w:t xml:space="preserve">le développement de mécanismes alternatifs de règlement des différends adaptés au contentieux commercial ; </w:t>
      </w:r>
    </w:p>
    <w:p w14:paraId="0FC4F5C6" w14:textId="68136B6C" w:rsidR="006F6E6A" w:rsidRPr="006F6E6A" w:rsidRDefault="006F6E6A" w:rsidP="006F6E6A">
      <w:pPr>
        <w:pStyle w:val="Paragraphedeliste"/>
        <w:numPr>
          <w:ilvl w:val="0"/>
          <w:numId w:val="2"/>
        </w:numPr>
        <w:spacing w:after="120" w:line="276" w:lineRule="auto"/>
        <w:jc w:val="both"/>
      </w:pPr>
      <w:r w:rsidRPr="006F6E6A">
        <w:t>Une analyse comparative ciblée avec des systèmes de justice commerciale performants, notamment en Afrique (par exemple la Côte d’Ivoire), afin d’identifier les bonnes pratiques transposables au contexte national, en particulier en matière de célérité des procédures et d’exécution des décisions de justice.</w:t>
      </w:r>
    </w:p>
    <w:p w14:paraId="7A417B13" w14:textId="77777777" w:rsidR="006F6E6A" w:rsidRPr="003C65B1" w:rsidRDefault="006F6E6A" w:rsidP="006F6E6A">
      <w:pPr>
        <w:spacing w:after="120" w:line="276" w:lineRule="auto"/>
        <w:jc w:val="both"/>
      </w:pPr>
    </w:p>
    <w:p w14:paraId="1181B977" w14:textId="77777777" w:rsidR="003C65B1" w:rsidRPr="003C65B1" w:rsidRDefault="003C65B1" w:rsidP="003C65B1">
      <w:pPr>
        <w:pStyle w:val="Titre2"/>
        <w:spacing w:before="0" w:after="120" w:line="276" w:lineRule="auto"/>
        <w:jc w:val="both"/>
        <w:rPr>
          <w:color w:val="2E75B6"/>
        </w:rPr>
      </w:pPr>
      <w:r w:rsidRPr="003C65B1">
        <w:rPr>
          <w:color w:val="2E75B6"/>
        </w:rPr>
        <w:t>3.4 Résultat 4 : Modernisation, gouvernance et amélioration de l’accès à la justice commerciale</w:t>
      </w:r>
    </w:p>
    <w:p w14:paraId="0ED48FCA" w14:textId="77777777" w:rsidR="003C65B1" w:rsidRDefault="003C65B1" w:rsidP="003C65B1">
      <w:pPr>
        <w:pStyle w:val="Paragraphedeliste"/>
        <w:numPr>
          <w:ilvl w:val="0"/>
          <w:numId w:val="2"/>
        </w:numPr>
        <w:spacing w:after="120" w:line="276" w:lineRule="auto"/>
        <w:jc w:val="both"/>
        <w:rPr>
          <w:color w:val="1A1A1A"/>
        </w:rPr>
      </w:pPr>
      <w:r w:rsidRPr="003C65B1">
        <w:rPr>
          <w:color w:val="1A1A1A"/>
        </w:rPr>
        <w:t>Une évaluation de l’accessibilité des services judiciaires (coûts, délais, accès géographique et informationnel) et de l’expérience des usagers ;</w:t>
      </w:r>
    </w:p>
    <w:p w14:paraId="712428C3" w14:textId="77777777" w:rsidR="003C65B1" w:rsidRDefault="003C65B1" w:rsidP="003C65B1">
      <w:pPr>
        <w:pStyle w:val="Paragraphedeliste"/>
        <w:numPr>
          <w:ilvl w:val="0"/>
          <w:numId w:val="2"/>
        </w:numPr>
        <w:spacing w:after="120" w:line="276" w:lineRule="auto"/>
        <w:jc w:val="both"/>
        <w:rPr>
          <w:color w:val="1A1A1A"/>
        </w:rPr>
      </w:pPr>
      <w:r w:rsidRPr="003C65B1">
        <w:rPr>
          <w:color w:val="1A1A1A"/>
        </w:rPr>
        <w:t>Une analyse des systèmes d’information judiciaires, incluant la disponibilité des données, les outils de suivi de la performance et les besoins en digitalisation avancée</w:t>
      </w:r>
      <w:r>
        <w:rPr>
          <w:color w:val="1A1A1A"/>
        </w:rPr>
        <w:t> ;</w:t>
      </w:r>
    </w:p>
    <w:p w14:paraId="28B4AC10" w14:textId="77777777" w:rsidR="003C65B1" w:rsidRDefault="003C65B1" w:rsidP="003C65B1">
      <w:pPr>
        <w:pStyle w:val="Paragraphedeliste"/>
        <w:numPr>
          <w:ilvl w:val="0"/>
          <w:numId w:val="2"/>
        </w:numPr>
        <w:spacing w:after="120" w:line="276" w:lineRule="auto"/>
        <w:jc w:val="both"/>
        <w:rPr>
          <w:color w:val="1A1A1A"/>
        </w:rPr>
      </w:pPr>
      <w:r w:rsidRPr="003C65B1">
        <w:rPr>
          <w:color w:val="1A1A1A"/>
        </w:rPr>
        <w:t>Des recommandations pour le renforcement de la gouvernance judiciaire, de la transparence et de l’indépendance des juridictions commerciales ;</w:t>
      </w:r>
    </w:p>
    <w:p w14:paraId="58AB33AD" w14:textId="77777777" w:rsidR="003C65B1" w:rsidRDefault="003C65B1" w:rsidP="003C65B1">
      <w:pPr>
        <w:pStyle w:val="Paragraphedeliste"/>
        <w:numPr>
          <w:ilvl w:val="0"/>
          <w:numId w:val="2"/>
        </w:numPr>
        <w:spacing w:after="120" w:line="276" w:lineRule="auto"/>
        <w:jc w:val="both"/>
        <w:rPr>
          <w:color w:val="1A1A1A"/>
        </w:rPr>
      </w:pPr>
      <w:r w:rsidRPr="003C65B1">
        <w:rPr>
          <w:color w:val="1A1A1A"/>
        </w:rPr>
        <w:t>Une évaluation des mécanismes alternatifs de règlement des différends (médiation, arbitrage, conciliation) et des propositions pour leur développement ;</w:t>
      </w:r>
    </w:p>
    <w:p w14:paraId="0E7EC3FA" w14:textId="77777777" w:rsidR="003C65B1" w:rsidRDefault="003C65B1" w:rsidP="003C65B1">
      <w:pPr>
        <w:pStyle w:val="Paragraphedeliste"/>
        <w:numPr>
          <w:ilvl w:val="0"/>
          <w:numId w:val="2"/>
        </w:numPr>
        <w:spacing w:after="120" w:line="276" w:lineRule="auto"/>
        <w:jc w:val="both"/>
        <w:rPr>
          <w:color w:val="1A1A1A"/>
        </w:rPr>
      </w:pPr>
      <w:r w:rsidRPr="003C65B1">
        <w:rPr>
          <w:color w:val="1A1A1A"/>
        </w:rPr>
        <w:t>Un plan de modernisation digitale des juridictions commerciales, incluant la dématérialisation, l’accès en ligne aux services et l’intégration progressive de solutions innovantes ;</w:t>
      </w:r>
    </w:p>
    <w:p w14:paraId="66299635" w14:textId="54893C24" w:rsidR="00BA06B5" w:rsidRDefault="003C65B1" w:rsidP="003C65B1">
      <w:pPr>
        <w:pStyle w:val="Paragraphedeliste"/>
        <w:numPr>
          <w:ilvl w:val="0"/>
          <w:numId w:val="2"/>
        </w:numPr>
        <w:spacing w:after="120" w:line="276" w:lineRule="auto"/>
        <w:jc w:val="both"/>
        <w:rPr>
          <w:color w:val="1A1A1A"/>
        </w:rPr>
      </w:pPr>
      <w:r w:rsidRPr="003C65B1">
        <w:rPr>
          <w:color w:val="1A1A1A"/>
        </w:rPr>
        <w:t>Une feuille de route opérationnelle pour la mise en œuvre des réformes proposées.</w:t>
      </w:r>
    </w:p>
    <w:p w14:paraId="28497A64" w14:textId="77777777" w:rsidR="006F6E6A" w:rsidRPr="006F6E6A" w:rsidRDefault="006F6E6A" w:rsidP="006F6E6A">
      <w:pPr>
        <w:spacing w:after="120" w:line="276" w:lineRule="auto"/>
        <w:jc w:val="both"/>
        <w:rPr>
          <w:color w:val="1A1A1A"/>
        </w:rPr>
      </w:pPr>
    </w:p>
    <w:p w14:paraId="5EA5F28D" w14:textId="7900A981" w:rsidR="00BA06B5" w:rsidRDefault="00931E88" w:rsidP="00367A2B">
      <w:pPr>
        <w:pStyle w:val="Titre1"/>
        <w:pBdr>
          <w:bottom w:val="single" w:sz="8" w:space="4" w:color="C9A84C"/>
        </w:pBdr>
      </w:pPr>
      <w:r>
        <w:rPr>
          <w:color w:val="1F4E79"/>
        </w:rPr>
        <w:lastRenderedPageBreak/>
        <w:t>IV. ÉTENDUE ET PÉRIMÈTRE DE LA MISSION</w:t>
      </w:r>
    </w:p>
    <w:p w14:paraId="1F56E656" w14:textId="77777777" w:rsidR="00BA06B5" w:rsidRDefault="00931E88" w:rsidP="002C3C65">
      <w:pPr>
        <w:pStyle w:val="Titre2"/>
        <w:spacing w:before="0" w:after="120" w:line="276" w:lineRule="auto"/>
        <w:jc w:val="both"/>
      </w:pPr>
      <w:r>
        <w:rPr>
          <w:color w:val="2E75B6"/>
        </w:rPr>
        <w:t>4.1 Périmètre juridique</w:t>
      </w:r>
    </w:p>
    <w:p w14:paraId="63CF4649" w14:textId="77777777" w:rsidR="00BA06B5" w:rsidRDefault="00931E88" w:rsidP="002C3C65">
      <w:pPr>
        <w:spacing w:after="120" w:line="276" w:lineRule="auto"/>
        <w:jc w:val="both"/>
      </w:pPr>
      <w:r>
        <w:rPr>
          <w:color w:val="1A1A1A"/>
        </w:rPr>
        <w:t>La mission portera sur l'analyse des textes suivants :</w:t>
      </w:r>
    </w:p>
    <w:p w14:paraId="21C83E94" w14:textId="7B1DA569" w:rsidR="00BA06B5" w:rsidRDefault="00931E88" w:rsidP="002C3C65">
      <w:pPr>
        <w:pStyle w:val="Paragraphedeliste"/>
        <w:numPr>
          <w:ilvl w:val="0"/>
          <w:numId w:val="2"/>
        </w:numPr>
        <w:spacing w:after="120" w:line="276" w:lineRule="auto"/>
        <w:jc w:val="both"/>
      </w:pPr>
      <w:r>
        <w:rPr>
          <w:color w:val="1A1A1A"/>
        </w:rPr>
        <w:t>Ordonnance N°009</w:t>
      </w:r>
      <w:r w:rsidR="002C3C65">
        <w:rPr>
          <w:color w:val="1A1A1A"/>
        </w:rPr>
        <w:t xml:space="preserve">/PR/2004 </w:t>
      </w:r>
      <w:r>
        <w:rPr>
          <w:color w:val="1A1A1A"/>
        </w:rPr>
        <w:t>du 23 août 2004 portant organisation et fonctionnement des tribunaux de commerce ;</w:t>
      </w:r>
    </w:p>
    <w:p w14:paraId="1A15885D" w14:textId="77777777" w:rsidR="00BA06B5" w:rsidRDefault="00931E88" w:rsidP="002C3C65">
      <w:pPr>
        <w:pStyle w:val="Paragraphedeliste"/>
        <w:numPr>
          <w:ilvl w:val="0"/>
          <w:numId w:val="2"/>
        </w:numPr>
        <w:spacing w:after="120" w:line="276" w:lineRule="auto"/>
        <w:jc w:val="both"/>
      </w:pPr>
      <w:r>
        <w:rPr>
          <w:color w:val="1A1A1A"/>
        </w:rPr>
        <w:t>Loi N° 028/PR/2020 portant Code de Procédure Civile, Commerciale et Sociale ;</w:t>
      </w:r>
    </w:p>
    <w:p w14:paraId="471D0E08" w14:textId="06D66C9F" w:rsidR="00BA06B5" w:rsidRDefault="00931E88" w:rsidP="002C3C65">
      <w:pPr>
        <w:pStyle w:val="Paragraphedeliste"/>
        <w:numPr>
          <w:ilvl w:val="0"/>
          <w:numId w:val="2"/>
        </w:numPr>
        <w:spacing w:after="120" w:line="276" w:lineRule="auto"/>
        <w:jc w:val="both"/>
      </w:pPr>
      <w:r>
        <w:rPr>
          <w:color w:val="1A1A1A"/>
        </w:rPr>
        <w:t>Actes Uniformes OHADA applicables</w:t>
      </w:r>
      <w:r w:rsidR="002C3C65">
        <w:rPr>
          <w:color w:val="1A1A1A"/>
        </w:rPr>
        <w:t xml:space="preserve"> </w:t>
      </w:r>
      <w:r>
        <w:rPr>
          <w:color w:val="1A1A1A"/>
        </w:rPr>
        <w:t>;</w:t>
      </w:r>
    </w:p>
    <w:p w14:paraId="431D296F" w14:textId="3E4CCC65" w:rsidR="00BA06B5" w:rsidRDefault="00931E88" w:rsidP="002C3C65">
      <w:pPr>
        <w:pStyle w:val="Paragraphedeliste"/>
        <w:numPr>
          <w:ilvl w:val="0"/>
          <w:numId w:val="2"/>
        </w:numPr>
        <w:spacing w:after="240" w:line="276" w:lineRule="auto"/>
        <w:jc w:val="both"/>
      </w:pPr>
      <w:r>
        <w:rPr>
          <w:color w:val="1A1A1A"/>
        </w:rPr>
        <w:t>Tous textes réglementaires, circulaires et instructions en rapport avec le fonctionnement des juridictions commerciales.</w:t>
      </w:r>
    </w:p>
    <w:p w14:paraId="50CB6369" w14:textId="77777777" w:rsidR="00BA06B5" w:rsidRDefault="00931E88" w:rsidP="002C3C65">
      <w:pPr>
        <w:pStyle w:val="Titre2"/>
        <w:spacing w:before="0" w:after="120" w:line="276" w:lineRule="auto"/>
        <w:jc w:val="both"/>
      </w:pPr>
      <w:r>
        <w:rPr>
          <w:color w:val="2E75B6"/>
        </w:rPr>
        <w:t>4.2 Périmètre institutionnel</w:t>
      </w:r>
    </w:p>
    <w:p w14:paraId="25B1960D" w14:textId="77777777" w:rsidR="00BA06B5" w:rsidRDefault="00931E88" w:rsidP="002C3C65">
      <w:pPr>
        <w:spacing w:after="120" w:line="276" w:lineRule="auto"/>
        <w:jc w:val="both"/>
      </w:pPr>
      <w:r>
        <w:rPr>
          <w:color w:val="1A1A1A"/>
        </w:rPr>
        <w:t>La mission couvrira les institutions et acteurs suivants :</w:t>
      </w:r>
    </w:p>
    <w:p w14:paraId="28D64192" w14:textId="55840AD4" w:rsidR="00BA06B5" w:rsidRDefault="00931E88" w:rsidP="002C3C65">
      <w:pPr>
        <w:pStyle w:val="Paragraphedeliste"/>
        <w:numPr>
          <w:ilvl w:val="0"/>
          <w:numId w:val="2"/>
        </w:numPr>
        <w:spacing w:after="120" w:line="276" w:lineRule="auto"/>
        <w:jc w:val="both"/>
      </w:pPr>
      <w:r>
        <w:rPr>
          <w:color w:val="1A1A1A"/>
        </w:rPr>
        <w:t xml:space="preserve">Les tribunaux de commerce existants et les tribunaux </w:t>
      </w:r>
      <w:r w:rsidR="002C3C65">
        <w:rPr>
          <w:color w:val="1A1A1A"/>
        </w:rPr>
        <w:t>de grande instance, ainsi que les tribunaux de travail et de la sécurité sociale</w:t>
      </w:r>
      <w:r>
        <w:rPr>
          <w:color w:val="1A1A1A"/>
        </w:rPr>
        <w:t xml:space="preserve"> exerçant des attributions commerciales ;</w:t>
      </w:r>
    </w:p>
    <w:p w14:paraId="3E9E5781" w14:textId="7ADD6D85" w:rsidR="00BA06B5" w:rsidRDefault="00931E88" w:rsidP="002C3C65">
      <w:pPr>
        <w:pStyle w:val="Paragraphedeliste"/>
        <w:numPr>
          <w:ilvl w:val="0"/>
          <w:numId w:val="2"/>
        </w:numPr>
        <w:spacing w:after="120" w:line="276" w:lineRule="auto"/>
        <w:jc w:val="both"/>
      </w:pPr>
      <w:r>
        <w:rPr>
          <w:color w:val="1A1A1A"/>
        </w:rPr>
        <w:t xml:space="preserve">Les cours d'appel </w:t>
      </w:r>
      <w:r w:rsidR="002C3C65">
        <w:rPr>
          <w:color w:val="1A1A1A"/>
        </w:rPr>
        <w:t xml:space="preserve">(Chambres commerciales) </w:t>
      </w:r>
      <w:r>
        <w:rPr>
          <w:color w:val="1A1A1A"/>
        </w:rPr>
        <w:t>dans leur rôle de supervision des juges consulaires (conformément aux articles 11 et 18 de l'Ordonnance)</w:t>
      </w:r>
      <w:r w:rsidR="002C3C65">
        <w:rPr>
          <w:color w:val="1A1A1A"/>
        </w:rPr>
        <w:t>, ainsi que d’appréciation des décisions rendues par les tribunaux de commerce</w:t>
      </w:r>
      <w:r>
        <w:rPr>
          <w:color w:val="1A1A1A"/>
        </w:rPr>
        <w:t xml:space="preserve"> ;</w:t>
      </w:r>
    </w:p>
    <w:p w14:paraId="5B8FC50E" w14:textId="77777777" w:rsidR="00BA06B5" w:rsidRDefault="00931E88" w:rsidP="002C3C65">
      <w:pPr>
        <w:pStyle w:val="Paragraphedeliste"/>
        <w:numPr>
          <w:ilvl w:val="0"/>
          <w:numId w:val="2"/>
        </w:numPr>
        <w:spacing w:after="120" w:line="276" w:lineRule="auto"/>
        <w:jc w:val="both"/>
      </w:pPr>
      <w:r>
        <w:rPr>
          <w:color w:val="1A1A1A"/>
        </w:rPr>
        <w:t>La Chambre de Commerce, d'Industrie, d'Agriculture, des Mines et d'Artisanat (CCIAMA) dans son rôle de désignation des juges consulaires ;</w:t>
      </w:r>
    </w:p>
    <w:p w14:paraId="1E1AC6ED" w14:textId="1F01F44E" w:rsidR="002C3C65" w:rsidRPr="002C3C65" w:rsidRDefault="002C3C65" w:rsidP="002C3C65">
      <w:pPr>
        <w:pStyle w:val="Paragraphedeliste"/>
        <w:numPr>
          <w:ilvl w:val="0"/>
          <w:numId w:val="2"/>
        </w:numPr>
        <w:spacing w:after="120" w:line="276" w:lineRule="auto"/>
        <w:jc w:val="both"/>
      </w:pPr>
      <w:r>
        <w:t xml:space="preserve">Le Ministère du Commerce et de l’Industrie et ses directions compétentes ; </w:t>
      </w:r>
    </w:p>
    <w:p w14:paraId="35879815" w14:textId="1BBF89EB" w:rsidR="00BA06B5" w:rsidRDefault="00931E88" w:rsidP="002C3C65">
      <w:pPr>
        <w:pStyle w:val="Paragraphedeliste"/>
        <w:numPr>
          <w:ilvl w:val="0"/>
          <w:numId w:val="2"/>
        </w:numPr>
        <w:spacing w:after="120" w:line="276" w:lineRule="auto"/>
        <w:jc w:val="both"/>
      </w:pPr>
      <w:r>
        <w:rPr>
          <w:color w:val="1A1A1A"/>
        </w:rPr>
        <w:t>Le Ministère de la Justice et ses directions compétentes ;</w:t>
      </w:r>
    </w:p>
    <w:p w14:paraId="2DE229FB" w14:textId="0C86DF4C" w:rsidR="00BA06B5" w:rsidRDefault="00931E88" w:rsidP="002C3C65">
      <w:pPr>
        <w:pStyle w:val="Paragraphedeliste"/>
        <w:numPr>
          <w:ilvl w:val="0"/>
          <w:numId w:val="2"/>
        </w:numPr>
        <w:spacing w:after="120" w:line="276" w:lineRule="auto"/>
        <w:jc w:val="both"/>
      </w:pPr>
      <w:r>
        <w:rPr>
          <w:color w:val="1A1A1A"/>
        </w:rPr>
        <w:t>Les ordres professionnels (barreau, notariat</w:t>
      </w:r>
      <w:r w:rsidR="002C3C65">
        <w:rPr>
          <w:color w:val="1A1A1A"/>
        </w:rPr>
        <w:t>, chambre des huissiers de justice, etc.</w:t>
      </w:r>
      <w:r>
        <w:rPr>
          <w:color w:val="1A1A1A"/>
        </w:rPr>
        <w:t>) et leurs interactions avec les juridictions commerciales ;</w:t>
      </w:r>
    </w:p>
    <w:p w14:paraId="106B3DC7" w14:textId="082AA74C" w:rsidR="00BA06B5" w:rsidRPr="002C3C65" w:rsidRDefault="00931E88" w:rsidP="002C3C65">
      <w:pPr>
        <w:pStyle w:val="Paragraphedeliste"/>
        <w:numPr>
          <w:ilvl w:val="0"/>
          <w:numId w:val="2"/>
        </w:numPr>
        <w:spacing w:after="120" w:line="276" w:lineRule="auto"/>
        <w:jc w:val="both"/>
      </w:pPr>
      <w:r>
        <w:rPr>
          <w:color w:val="1A1A1A"/>
        </w:rPr>
        <w:t>Les représentants du secteur privé et des associations d'entreprises.</w:t>
      </w:r>
    </w:p>
    <w:p w14:paraId="6760CBE6" w14:textId="77777777" w:rsidR="002C3C65" w:rsidRDefault="002C3C65" w:rsidP="002C3C65">
      <w:pPr>
        <w:pStyle w:val="Paragraphedeliste"/>
        <w:spacing w:after="120" w:line="276" w:lineRule="auto"/>
        <w:ind w:left="720"/>
        <w:jc w:val="both"/>
      </w:pPr>
    </w:p>
    <w:p w14:paraId="7D2DAC71" w14:textId="77777777" w:rsidR="00BA06B5" w:rsidRDefault="00931E88" w:rsidP="002C3C65">
      <w:pPr>
        <w:pStyle w:val="Titre2"/>
        <w:spacing w:before="0" w:after="120" w:line="276" w:lineRule="auto"/>
        <w:jc w:val="both"/>
      </w:pPr>
      <w:r>
        <w:rPr>
          <w:color w:val="2E75B6"/>
        </w:rPr>
        <w:t>4.3 Couverture géographique</w:t>
      </w:r>
    </w:p>
    <w:p w14:paraId="3C2E6404" w14:textId="562E66BD" w:rsidR="00BA06B5" w:rsidRDefault="00931E88" w:rsidP="002C3C65">
      <w:pPr>
        <w:spacing w:after="120" w:line="276" w:lineRule="auto"/>
        <w:jc w:val="both"/>
      </w:pPr>
      <w:r>
        <w:rPr>
          <w:color w:val="1A1A1A"/>
        </w:rPr>
        <w:t>La mission s'étendra à N'Djaména ainsi qu'aux principales villes disposant ou devant disposer d'un tribunal de commerce, avec</w:t>
      </w:r>
      <w:r w:rsidR="006F6E6A">
        <w:rPr>
          <w:color w:val="1A1A1A"/>
        </w:rPr>
        <w:t>, au besoin,</w:t>
      </w:r>
      <w:r>
        <w:rPr>
          <w:color w:val="1A1A1A"/>
        </w:rPr>
        <w:t xml:space="preserve"> des déplacements sur le terrain selon les besoins du diagnostic.</w:t>
      </w:r>
    </w:p>
    <w:p w14:paraId="5ABFB708" w14:textId="77777777" w:rsidR="00BA06B5" w:rsidRDefault="00931E88">
      <w:pPr>
        <w:pStyle w:val="Titre1"/>
        <w:pBdr>
          <w:bottom w:val="single" w:sz="8" w:space="4" w:color="C9A84C"/>
        </w:pBdr>
      </w:pPr>
      <w:r>
        <w:rPr>
          <w:color w:val="1F4E79"/>
        </w:rPr>
        <w:t>V. MÉTHODOLOGIE</w:t>
      </w:r>
    </w:p>
    <w:p w14:paraId="6ABFBC10" w14:textId="1A895DD4" w:rsidR="00BA06B5" w:rsidRDefault="00931E88" w:rsidP="002C3C65">
      <w:pPr>
        <w:spacing w:after="120" w:line="276" w:lineRule="auto"/>
        <w:jc w:val="both"/>
      </w:pPr>
      <w:r>
        <w:rPr>
          <w:color w:val="1A1A1A"/>
        </w:rPr>
        <w:t>Le consultant ou l'équipe de consultants devra adopter une approche méthodologique rigoureuse combinant :</w:t>
      </w:r>
    </w:p>
    <w:p w14:paraId="589EA0DB" w14:textId="77777777" w:rsidR="00BA06B5" w:rsidRDefault="00931E88" w:rsidP="002C3C65">
      <w:pPr>
        <w:pStyle w:val="Titre2"/>
        <w:spacing w:before="0" w:after="120" w:line="276" w:lineRule="auto"/>
      </w:pPr>
      <w:r>
        <w:rPr>
          <w:color w:val="2E75B6"/>
        </w:rPr>
        <w:t>5.1 Revue documentaire</w:t>
      </w:r>
    </w:p>
    <w:p w14:paraId="588DD2BD" w14:textId="2DC0081E" w:rsidR="00BA06B5" w:rsidRDefault="00931E88" w:rsidP="002C3C65">
      <w:pPr>
        <w:pStyle w:val="Paragraphedeliste"/>
        <w:numPr>
          <w:ilvl w:val="0"/>
          <w:numId w:val="2"/>
        </w:numPr>
        <w:spacing w:after="120" w:line="276" w:lineRule="auto"/>
        <w:jc w:val="both"/>
      </w:pPr>
      <w:r>
        <w:rPr>
          <w:color w:val="1A1A1A"/>
        </w:rPr>
        <w:t>Analyse des textes législatifs et réglementaires nationaux et régionaux (OHADA</w:t>
      </w:r>
      <w:proofErr w:type="gramStart"/>
      <w:r>
        <w:rPr>
          <w:color w:val="1A1A1A"/>
        </w:rPr>
        <w:t>);</w:t>
      </w:r>
      <w:proofErr w:type="gramEnd"/>
    </w:p>
    <w:p w14:paraId="53DA8D0D" w14:textId="2ACA6024" w:rsidR="00BA06B5" w:rsidRDefault="00931E88" w:rsidP="002C3C65">
      <w:pPr>
        <w:pStyle w:val="Paragraphedeliste"/>
        <w:numPr>
          <w:ilvl w:val="0"/>
          <w:numId w:val="2"/>
        </w:numPr>
        <w:spacing w:after="120" w:line="276" w:lineRule="auto"/>
        <w:jc w:val="both"/>
      </w:pPr>
      <w:r>
        <w:rPr>
          <w:color w:val="1A1A1A"/>
        </w:rPr>
        <w:t>Étude comparative avec les systèmes de justice commerciale d'autres États</w:t>
      </w:r>
      <w:r w:rsidR="002C3C65">
        <w:rPr>
          <w:color w:val="1A1A1A"/>
        </w:rPr>
        <w:t xml:space="preserve"> </w:t>
      </w:r>
      <w:r>
        <w:rPr>
          <w:color w:val="1A1A1A"/>
        </w:rPr>
        <w:t>membres de l'OHADA ;</w:t>
      </w:r>
    </w:p>
    <w:p w14:paraId="08229878" w14:textId="39ED7F09" w:rsidR="00BA06B5" w:rsidRPr="002C3C65" w:rsidRDefault="00931E88" w:rsidP="002C3C65">
      <w:pPr>
        <w:pStyle w:val="Paragraphedeliste"/>
        <w:numPr>
          <w:ilvl w:val="0"/>
          <w:numId w:val="2"/>
        </w:numPr>
        <w:spacing w:after="120" w:line="276" w:lineRule="auto"/>
        <w:jc w:val="both"/>
      </w:pPr>
      <w:r>
        <w:rPr>
          <w:color w:val="1A1A1A"/>
        </w:rPr>
        <w:lastRenderedPageBreak/>
        <w:t>Examen de la jurisprudence disponible des tribunaux de commerce tchadiens.</w:t>
      </w:r>
    </w:p>
    <w:p w14:paraId="672F5A74" w14:textId="77777777" w:rsidR="002C3C65" w:rsidRDefault="002C3C65" w:rsidP="002C3C65">
      <w:pPr>
        <w:pStyle w:val="Paragraphedeliste"/>
        <w:spacing w:after="120" w:line="276" w:lineRule="auto"/>
        <w:ind w:left="720"/>
        <w:jc w:val="both"/>
      </w:pPr>
    </w:p>
    <w:p w14:paraId="323FD923" w14:textId="77777777" w:rsidR="00BA06B5" w:rsidRDefault="00931E88" w:rsidP="002C3C65">
      <w:pPr>
        <w:pStyle w:val="Titre2"/>
        <w:spacing w:before="0" w:after="120" w:line="276" w:lineRule="auto"/>
        <w:jc w:val="both"/>
      </w:pPr>
      <w:r>
        <w:rPr>
          <w:color w:val="2E75B6"/>
        </w:rPr>
        <w:t>5.2 Collecte de données primaires</w:t>
      </w:r>
    </w:p>
    <w:p w14:paraId="5679DE42" w14:textId="30B0AF5A" w:rsidR="00BA06B5" w:rsidRDefault="00931E88" w:rsidP="002C3C65">
      <w:pPr>
        <w:pStyle w:val="Paragraphedeliste"/>
        <w:numPr>
          <w:ilvl w:val="0"/>
          <w:numId w:val="2"/>
        </w:numPr>
        <w:spacing w:after="120" w:line="276" w:lineRule="auto"/>
        <w:jc w:val="both"/>
      </w:pPr>
      <w:r>
        <w:rPr>
          <w:color w:val="1A1A1A"/>
        </w:rPr>
        <w:t>Entretiens semi-directifs avec les présidents</w:t>
      </w:r>
      <w:r w:rsidR="001F17EC">
        <w:rPr>
          <w:color w:val="1A1A1A"/>
        </w:rPr>
        <w:t>,</w:t>
      </w:r>
      <w:r>
        <w:rPr>
          <w:color w:val="1A1A1A"/>
        </w:rPr>
        <w:t xml:space="preserve"> magistrats des tribunaux de commerce </w:t>
      </w:r>
      <w:r w:rsidR="001F17EC">
        <w:rPr>
          <w:color w:val="1A1A1A"/>
        </w:rPr>
        <w:t xml:space="preserve">et les acteurs clés </w:t>
      </w:r>
      <w:r>
        <w:rPr>
          <w:color w:val="1A1A1A"/>
        </w:rPr>
        <w:t>;</w:t>
      </w:r>
    </w:p>
    <w:p w14:paraId="1C5070AB" w14:textId="217A430B" w:rsidR="00BA06B5" w:rsidRDefault="00931E88" w:rsidP="002C3C65">
      <w:pPr>
        <w:pStyle w:val="Paragraphedeliste"/>
        <w:numPr>
          <w:ilvl w:val="0"/>
          <w:numId w:val="2"/>
        </w:numPr>
        <w:spacing w:after="120" w:line="276" w:lineRule="auto"/>
        <w:jc w:val="both"/>
      </w:pPr>
      <w:r>
        <w:rPr>
          <w:color w:val="1A1A1A"/>
        </w:rPr>
        <w:t>Questionnaires structurés administrés aux juges consulaires, greffiers</w:t>
      </w:r>
      <w:r w:rsidR="001F17EC">
        <w:rPr>
          <w:color w:val="1A1A1A"/>
        </w:rPr>
        <w:t xml:space="preserve">, </w:t>
      </w:r>
      <w:r>
        <w:rPr>
          <w:color w:val="1A1A1A"/>
        </w:rPr>
        <w:t>personnels d'appui</w:t>
      </w:r>
      <w:r w:rsidR="001F17EC">
        <w:rPr>
          <w:color w:val="1A1A1A"/>
        </w:rPr>
        <w:t xml:space="preserve"> et les acteurs clés </w:t>
      </w:r>
      <w:r>
        <w:rPr>
          <w:color w:val="1A1A1A"/>
        </w:rPr>
        <w:t>;</w:t>
      </w:r>
    </w:p>
    <w:p w14:paraId="54FF1474" w14:textId="38D1E15C" w:rsidR="00BA06B5" w:rsidRDefault="00931E88" w:rsidP="002C3C65">
      <w:pPr>
        <w:pStyle w:val="Paragraphedeliste"/>
        <w:numPr>
          <w:ilvl w:val="0"/>
          <w:numId w:val="2"/>
        </w:numPr>
        <w:spacing w:after="120" w:line="276" w:lineRule="auto"/>
        <w:jc w:val="both"/>
      </w:pPr>
      <w:r>
        <w:rPr>
          <w:color w:val="1A1A1A"/>
        </w:rPr>
        <w:t>Consultations avec les avocats, les représentants du barreau</w:t>
      </w:r>
      <w:r w:rsidR="006F6E6A">
        <w:rPr>
          <w:color w:val="1A1A1A"/>
        </w:rPr>
        <w:t>, les huissiers, les agents d’exécution des décisions de justice</w:t>
      </w:r>
      <w:r>
        <w:rPr>
          <w:color w:val="1A1A1A"/>
        </w:rPr>
        <w:t xml:space="preserve"> et les opérateurs économiques ;</w:t>
      </w:r>
    </w:p>
    <w:p w14:paraId="1C0CC98B" w14:textId="77777777" w:rsidR="001F17EC" w:rsidRPr="001F17EC" w:rsidRDefault="00931E88" w:rsidP="001F17EC">
      <w:pPr>
        <w:pStyle w:val="Paragraphedeliste"/>
        <w:numPr>
          <w:ilvl w:val="0"/>
          <w:numId w:val="2"/>
        </w:numPr>
        <w:spacing w:after="120" w:line="276" w:lineRule="auto"/>
        <w:jc w:val="both"/>
      </w:pPr>
      <w:r>
        <w:rPr>
          <w:color w:val="1A1A1A"/>
        </w:rPr>
        <w:t>Groupes de discussion focalisés avec les acteurs clés de la chaîne judiciaire commerciale</w:t>
      </w:r>
      <w:r w:rsidR="001F17EC">
        <w:rPr>
          <w:color w:val="1A1A1A"/>
        </w:rPr>
        <w:t>.</w:t>
      </w:r>
    </w:p>
    <w:p w14:paraId="04E2885D" w14:textId="111C7147" w:rsidR="001F17EC" w:rsidRPr="001F17EC" w:rsidRDefault="001F17EC" w:rsidP="001F17EC">
      <w:pPr>
        <w:pStyle w:val="Paragraphedeliste"/>
        <w:numPr>
          <w:ilvl w:val="0"/>
          <w:numId w:val="2"/>
        </w:numPr>
        <w:spacing w:after="120" w:line="276" w:lineRule="auto"/>
        <w:jc w:val="both"/>
        <w:rPr>
          <w:i/>
          <w:iCs/>
        </w:rPr>
      </w:pPr>
      <w:r w:rsidRPr="001F17EC">
        <w:rPr>
          <w:i/>
          <w:iCs/>
          <w:color w:val="1A1A1A"/>
        </w:rPr>
        <w:t xml:space="preserve">Les acteurs clés sont les suivants : </w:t>
      </w:r>
      <w:r w:rsidRPr="001F17EC">
        <w:rPr>
          <w:i/>
          <w:iCs/>
        </w:rPr>
        <w:t>les magistrats professionnels (siège et parquet)</w:t>
      </w:r>
      <w:r w:rsidRPr="001F17EC">
        <w:rPr>
          <w:i/>
          <w:iCs/>
        </w:rPr>
        <w:t xml:space="preserve">, </w:t>
      </w:r>
      <w:r w:rsidRPr="001F17EC">
        <w:rPr>
          <w:i/>
          <w:iCs/>
        </w:rPr>
        <w:t>les juges consulaires</w:t>
      </w:r>
      <w:r w:rsidRPr="001F17EC">
        <w:rPr>
          <w:i/>
          <w:iCs/>
        </w:rPr>
        <w:t xml:space="preserve">, </w:t>
      </w:r>
      <w:r w:rsidRPr="001F17EC">
        <w:rPr>
          <w:i/>
          <w:iCs/>
        </w:rPr>
        <w:t>les greffiers et personnels administratifs des juridictions commerciales</w:t>
      </w:r>
      <w:r w:rsidRPr="001F17EC">
        <w:rPr>
          <w:i/>
          <w:iCs/>
        </w:rPr>
        <w:t xml:space="preserve">, </w:t>
      </w:r>
      <w:r w:rsidRPr="001F17EC">
        <w:rPr>
          <w:i/>
          <w:iCs/>
        </w:rPr>
        <w:t>les avocats et représentants du barreau</w:t>
      </w:r>
      <w:r w:rsidRPr="001F17EC">
        <w:rPr>
          <w:i/>
          <w:iCs/>
        </w:rPr>
        <w:t xml:space="preserve">, </w:t>
      </w:r>
      <w:r w:rsidRPr="001F17EC">
        <w:rPr>
          <w:i/>
          <w:iCs/>
        </w:rPr>
        <w:t>les huissiers de justice et autres acteurs de l’exécution</w:t>
      </w:r>
      <w:r w:rsidRPr="001F17EC">
        <w:rPr>
          <w:i/>
          <w:iCs/>
        </w:rPr>
        <w:t xml:space="preserve">, </w:t>
      </w:r>
      <w:r w:rsidRPr="001F17EC">
        <w:rPr>
          <w:i/>
          <w:iCs/>
        </w:rPr>
        <w:t>les représentants des institutions d’appui au secteur privé (notamment la Chambre de Commerce)</w:t>
      </w:r>
      <w:r w:rsidRPr="001F17EC">
        <w:rPr>
          <w:i/>
          <w:iCs/>
        </w:rPr>
        <w:t xml:space="preserve">, </w:t>
      </w:r>
      <w:r w:rsidRPr="001F17EC">
        <w:rPr>
          <w:i/>
          <w:iCs/>
        </w:rPr>
        <w:t>les opérateurs économiques (PME, grandes entreprises, organisations professionnelles)</w:t>
      </w:r>
      <w:r w:rsidRPr="001F17EC">
        <w:rPr>
          <w:i/>
          <w:iCs/>
        </w:rPr>
        <w:t xml:space="preserve">, </w:t>
      </w:r>
      <w:r w:rsidRPr="001F17EC">
        <w:rPr>
          <w:i/>
          <w:iCs/>
        </w:rPr>
        <w:t>les administrations publiques impliquées dans la régulation de l’activité économique</w:t>
      </w:r>
      <w:r w:rsidRPr="001F17EC">
        <w:rPr>
          <w:i/>
          <w:iCs/>
        </w:rPr>
        <w:t xml:space="preserve">, </w:t>
      </w:r>
      <w:r w:rsidRPr="001F17EC">
        <w:rPr>
          <w:i/>
          <w:iCs/>
        </w:rPr>
        <w:t>le cas échéant, les partenaires techniques et financiers intervenant dans le secteur de la justice ou du climat des affaires.</w:t>
      </w:r>
    </w:p>
    <w:p w14:paraId="43255336" w14:textId="77777777" w:rsidR="00BA06B5" w:rsidRDefault="00931E88" w:rsidP="002C3C65">
      <w:pPr>
        <w:pStyle w:val="Titre2"/>
        <w:spacing w:before="0" w:after="120" w:line="276" w:lineRule="auto"/>
        <w:jc w:val="both"/>
      </w:pPr>
      <w:r>
        <w:rPr>
          <w:color w:val="2E75B6"/>
        </w:rPr>
        <w:t>5.3 Analyse et validation</w:t>
      </w:r>
    </w:p>
    <w:p w14:paraId="09F617B6" w14:textId="77777777" w:rsidR="00BA06B5" w:rsidRDefault="00931E88" w:rsidP="002C3C65">
      <w:pPr>
        <w:pStyle w:val="Paragraphedeliste"/>
        <w:numPr>
          <w:ilvl w:val="0"/>
          <w:numId w:val="2"/>
        </w:numPr>
        <w:spacing w:after="120" w:line="276" w:lineRule="auto"/>
        <w:jc w:val="both"/>
      </w:pPr>
      <w:r>
        <w:rPr>
          <w:color w:val="1A1A1A"/>
        </w:rPr>
        <w:t>Analyse quantitative des données collectées (volumes d'affaires, délais, ressources) ;</w:t>
      </w:r>
    </w:p>
    <w:p w14:paraId="40F85378" w14:textId="77777777" w:rsidR="00BA06B5" w:rsidRDefault="00931E88" w:rsidP="002C3C65">
      <w:pPr>
        <w:pStyle w:val="Paragraphedeliste"/>
        <w:numPr>
          <w:ilvl w:val="0"/>
          <w:numId w:val="2"/>
        </w:numPr>
        <w:spacing w:after="120" w:line="276" w:lineRule="auto"/>
        <w:jc w:val="both"/>
      </w:pPr>
      <w:r>
        <w:rPr>
          <w:color w:val="1A1A1A"/>
        </w:rPr>
        <w:t>Analyse qualitative des dysfonctionnements et des besoins de réforme ;</w:t>
      </w:r>
    </w:p>
    <w:p w14:paraId="11A6FED5" w14:textId="77777777" w:rsidR="00BA06B5" w:rsidRDefault="00931E88" w:rsidP="002C3C65">
      <w:pPr>
        <w:pStyle w:val="Paragraphedeliste"/>
        <w:numPr>
          <w:ilvl w:val="0"/>
          <w:numId w:val="2"/>
        </w:numPr>
        <w:spacing w:after="120" w:line="276" w:lineRule="auto"/>
        <w:jc w:val="both"/>
      </w:pPr>
      <w:r>
        <w:rPr>
          <w:color w:val="1A1A1A"/>
        </w:rPr>
        <w:t>Atelier de validation des conclusions provisoires avec les parties prenantes ;</w:t>
      </w:r>
    </w:p>
    <w:p w14:paraId="44ECEF87" w14:textId="60571943" w:rsidR="00BA06B5" w:rsidRDefault="00931E88" w:rsidP="002C3C65">
      <w:pPr>
        <w:pStyle w:val="Paragraphedeliste"/>
        <w:numPr>
          <w:ilvl w:val="0"/>
          <w:numId w:val="2"/>
        </w:numPr>
        <w:spacing w:after="120" w:line="276" w:lineRule="auto"/>
        <w:jc w:val="both"/>
      </w:pPr>
      <w:r>
        <w:rPr>
          <w:color w:val="1A1A1A"/>
        </w:rPr>
        <w:t>Finalisation du rapport intégrant les observations issues de la validation.</w:t>
      </w:r>
    </w:p>
    <w:p w14:paraId="3AB3FA21" w14:textId="08711B5A" w:rsidR="00BA06B5" w:rsidRDefault="00931E88" w:rsidP="00017FF6">
      <w:pPr>
        <w:pStyle w:val="Titre1"/>
        <w:pBdr>
          <w:bottom w:val="single" w:sz="8" w:space="4" w:color="C9A84C"/>
        </w:pBdr>
      </w:pPr>
      <w:r>
        <w:rPr>
          <w:color w:val="1F4E79"/>
        </w:rPr>
        <w:t>VI. LIVRABLES</w:t>
      </w:r>
    </w:p>
    <w:p w14:paraId="258F88C6" w14:textId="77777777" w:rsidR="00BA06B5" w:rsidRDefault="00931E88">
      <w:pPr>
        <w:spacing w:before="80" w:after="80"/>
        <w:jc w:val="both"/>
      </w:pPr>
      <w:r>
        <w:rPr>
          <w:color w:val="1A1A1A"/>
        </w:rPr>
        <w:t>Le consultant devra produire les livrables suivants dans les délais convenus :</w:t>
      </w:r>
    </w:p>
    <w:p w14:paraId="0E7EE408" w14:textId="77777777" w:rsidR="00BA06B5" w:rsidRDefault="00BA06B5"/>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5560"/>
        <w:gridCol w:w="1800"/>
      </w:tblGrid>
      <w:tr w:rsidR="00BA06B5" w14:paraId="3D115190" w14:textId="77777777">
        <w:tc>
          <w:tcPr>
            <w:tcW w:w="2000" w:type="dxa"/>
            <w:tcBorders>
              <w:top w:val="single" w:sz="1" w:space="0" w:color="CCCCCC"/>
              <w:left w:val="single" w:sz="1" w:space="0" w:color="CCCCCC"/>
              <w:bottom w:val="single" w:sz="1" w:space="0" w:color="CCCCCC"/>
              <w:right w:val="single" w:sz="1" w:space="0" w:color="CCCCCC"/>
            </w:tcBorders>
            <w:shd w:val="clear" w:color="auto" w:fill="1F4E79"/>
            <w:tcMar>
              <w:top w:w="100" w:type="dxa"/>
              <w:left w:w="150" w:type="dxa"/>
              <w:bottom w:w="100" w:type="dxa"/>
              <w:right w:w="150" w:type="dxa"/>
            </w:tcMar>
          </w:tcPr>
          <w:p w14:paraId="34FEC10D" w14:textId="77777777" w:rsidR="00BA06B5" w:rsidRDefault="00931E88">
            <w:r>
              <w:rPr>
                <w:b/>
                <w:bCs/>
                <w:color w:val="FFFFFF"/>
                <w:sz w:val="20"/>
                <w:szCs w:val="20"/>
              </w:rPr>
              <w:t>Livrable</w:t>
            </w:r>
          </w:p>
        </w:tc>
        <w:tc>
          <w:tcPr>
            <w:tcW w:w="5560" w:type="dxa"/>
            <w:tcBorders>
              <w:top w:val="single" w:sz="1" w:space="0" w:color="CCCCCC"/>
              <w:left w:val="single" w:sz="1" w:space="0" w:color="CCCCCC"/>
              <w:bottom w:val="single" w:sz="1" w:space="0" w:color="CCCCCC"/>
              <w:right w:val="single" w:sz="1" w:space="0" w:color="CCCCCC"/>
            </w:tcBorders>
            <w:shd w:val="clear" w:color="auto" w:fill="1F4E79"/>
            <w:tcMar>
              <w:top w:w="100" w:type="dxa"/>
              <w:left w:w="150" w:type="dxa"/>
              <w:bottom w:w="100" w:type="dxa"/>
              <w:right w:w="150" w:type="dxa"/>
            </w:tcMar>
          </w:tcPr>
          <w:p w14:paraId="2C40E7C4" w14:textId="77777777" w:rsidR="00BA06B5" w:rsidRDefault="00931E88">
            <w:r>
              <w:rPr>
                <w:b/>
                <w:bCs/>
                <w:color w:val="FFFFFF"/>
                <w:sz w:val="20"/>
                <w:szCs w:val="20"/>
              </w:rPr>
              <w:t>Description</w:t>
            </w:r>
          </w:p>
        </w:tc>
        <w:tc>
          <w:tcPr>
            <w:tcW w:w="1800" w:type="dxa"/>
            <w:tcBorders>
              <w:top w:val="single" w:sz="1" w:space="0" w:color="CCCCCC"/>
              <w:left w:val="single" w:sz="1" w:space="0" w:color="CCCCCC"/>
              <w:bottom w:val="single" w:sz="1" w:space="0" w:color="CCCCCC"/>
              <w:right w:val="single" w:sz="1" w:space="0" w:color="CCCCCC"/>
            </w:tcBorders>
            <w:shd w:val="clear" w:color="auto" w:fill="1F4E79"/>
            <w:tcMar>
              <w:top w:w="100" w:type="dxa"/>
              <w:left w:w="150" w:type="dxa"/>
              <w:bottom w:w="100" w:type="dxa"/>
              <w:right w:w="150" w:type="dxa"/>
            </w:tcMar>
          </w:tcPr>
          <w:p w14:paraId="51080E16" w14:textId="77777777" w:rsidR="00BA06B5" w:rsidRDefault="00931E88">
            <w:r>
              <w:rPr>
                <w:b/>
                <w:bCs/>
                <w:color w:val="FFFFFF"/>
                <w:sz w:val="20"/>
                <w:szCs w:val="20"/>
              </w:rPr>
              <w:t>Délai</w:t>
            </w:r>
          </w:p>
        </w:tc>
      </w:tr>
      <w:tr w:rsidR="00BA06B5" w14:paraId="49CCD39A" w14:textId="77777777">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5C72C68B" w14:textId="77777777" w:rsidR="00BA06B5" w:rsidRDefault="00931E88">
            <w:r>
              <w:rPr>
                <w:color w:val="1A1A1A"/>
                <w:sz w:val="20"/>
                <w:szCs w:val="20"/>
              </w:rPr>
              <w:t>L1</w:t>
            </w:r>
          </w:p>
        </w:tc>
        <w:tc>
          <w:tcPr>
            <w:tcW w:w="5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3A37BC68" w14:textId="77777777" w:rsidR="00BA06B5" w:rsidRDefault="00931E88" w:rsidP="00017FF6">
            <w:pPr>
              <w:jc w:val="both"/>
            </w:pPr>
            <w:r>
              <w:rPr>
                <w:color w:val="1A1A1A"/>
                <w:sz w:val="20"/>
                <w:szCs w:val="20"/>
              </w:rPr>
              <w:t>Note de démarrage (méthodologie détaillée, plan de travail, outils de collecte)</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0743A991" w14:textId="77777777" w:rsidR="00BA06B5" w:rsidRDefault="00931E88">
            <w:r>
              <w:rPr>
                <w:color w:val="1A1A1A"/>
                <w:sz w:val="20"/>
                <w:szCs w:val="20"/>
              </w:rPr>
              <w:t>J+15</w:t>
            </w:r>
          </w:p>
        </w:tc>
      </w:tr>
      <w:tr w:rsidR="00BA06B5" w14:paraId="11A66EC1" w14:textId="77777777">
        <w:tc>
          <w:tcPr>
            <w:tcW w:w="2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50" w:type="dxa"/>
              <w:bottom w:w="80" w:type="dxa"/>
              <w:right w:w="150" w:type="dxa"/>
            </w:tcMar>
          </w:tcPr>
          <w:p w14:paraId="51DE9010" w14:textId="77777777" w:rsidR="00BA06B5" w:rsidRDefault="00931E88">
            <w:r>
              <w:rPr>
                <w:color w:val="1A1A1A"/>
                <w:sz w:val="20"/>
                <w:szCs w:val="20"/>
              </w:rPr>
              <w:t>L2</w:t>
            </w:r>
          </w:p>
        </w:tc>
        <w:tc>
          <w:tcPr>
            <w:tcW w:w="55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50" w:type="dxa"/>
              <w:bottom w:w="80" w:type="dxa"/>
              <w:right w:w="150" w:type="dxa"/>
            </w:tcMar>
          </w:tcPr>
          <w:p w14:paraId="62499CD6" w14:textId="77777777" w:rsidR="00BA06B5" w:rsidRDefault="00931E88" w:rsidP="00017FF6">
            <w:pPr>
              <w:jc w:val="both"/>
            </w:pPr>
            <w:r>
              <w:rPr>
                <w:color w:val="1A1A1A"/>
                <w:sz w:val="20"/>
                <w:szCs w:val="20"/>
              </w:rPr>
              <w:t>Rapport de revue documentaire et d'analyse du cadre juridique</w:t>
            </w:r>
          </w:p>
        </w:tc>
        <w:tc>
          <w:tcPr>
            <w:tcW w:w="18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50" w:type="dxa"/>
              <w:bottom w:w="80" w:type="dxa"/>
              <w:right w:w="150" w:type="dxa"/>
            </w:tcMar>
          </w:tcPr>
          <w:p w14:paraId="3D12B494" w14:textId="77777777" w:rsidR="00BA06B5" w:rsidRDefault="00931E88">
            <w:r>
              <w:rPr>
                <w:color w:val="1A1A1A"/>
                <w:sz w:val="20"/>
                <w:szCs w:val="20"/>
              </w:rPr>
              <w:t>J+30</w:t>
            </w:r>
          </w:p>
        </w:tc>
      </w:tr>
      <w:tr w:rsidR="00BA06B5" w14:paraId="5DC0DAE3" w14:textId="77777777">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38F3A58D" w14:textId="77777777" w:rsidR="00BA06B5" w:rsidRDefault="00931E88">
            <w:r>
              <w:rPr>
                <w:color w:val="1A1A1A"/>
                <w:sz w:val="20"/>
                <w:szCs w:val="20"/>
              </w:rPr>
              <w:t>L3</w:t>
            </w:r>
          </w:p>
        </w:tc>
        <w:tc>
          <w:tcPr>
            <w:tcW w:w="5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7622D7FA" w14:textId="77777777" w:rsidR="00BA06B5" w:rsidRDefault="00931E88" w:rsidP="00017FF6">
            <w:pPr>
              <w:jc w:val="both"/>
            </w:pPr>
            <w:r>
              <w:rPr>
                <w:color w:val="1A1A1A"/>
                <w:sz w:val="20"/>
                <w:szCs w:val="20"/>
              </w:rPr>
              <w:t>Rapport de collecte de données terrain (entretiens, questionnaires)</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31C49625" w14:textId="77777777" w:rsidR="00BA06B5" w:rsidRDefault="00931E88">
            <w:r>
              <w:rPr>
                <w:color w:val="1A1A1A"/>
                <w:sz w:val="20"/>
                <w:szCs w:val="20"/>
              </w:rPr>
              <w:t>J+60</w:t>
            </w:r>
          </w:p>
        </w:tc>
      </w:tr>
      <w:tr w:rsidR="00BA06B5" w14:paraId="2CE19B27" w14:textId="77777777">
        <w:tc>
          <w:tcPr>
            <w:tcW w:w="2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50" w:type="dxa"/>
              <w:bottom w:w="80" w:type="dxa"/>
              <w:right w:w="150" w:type="dxa"/>
            </w:tcMar>
          </w:tcPr>
          <w:p w14:paraId="4A9A2150" w14:textId="77777777" w:rsidR="00BA06B5" w:rsidRDefault="00931E88">
            <w:r>
              <w:rPr>
                <w:color w:val="1A1A1A"/>
                <w:sz w:val="20"/>
                <w:szCs w:val="20"/>
              </w:rPr>
              <w:t>L4</w:t>
            </w:r>
          </w:p>
        </w:tc>
        <w:tc>
          <w:tcPr>
            <w:tcW w:w="55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50" w:type="dxa"/>
              <w:bottom w:w="80" w:type="dxa"/>
              <w:right w:w="150" w:type="dxa"/>
            </w:tcMar>
          </w:tcPr>
          <w:p w14:paraId="15FCD4A7" w14:textId="77777777" w:rsidR="00BA06B5" w:rsidRDefault="00931E88" w:rsidP="00017FF6">
            <w:pPr>
              <w:jc w:val="both"/>
            </w:pPr>
            <w:r>
              <w:rPr>
                <w:color w:val="1A1A1A"/>
                <w:sz w:val="20"/>
                <w:szCs w:val="20"/>
              </w:rPr>
              <w:t>Rapport provisoire de diagnostic avec recommandations</w:t>
            </w:r>
          </w:p>
        </w:tc>
        <w:tc>
          <w:tcPr>
            <w:tcW w:w="18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50" w:type="dxa"/>
              <w:bottom w:w="80" w:type="dxa"/>
              <w:right w:w="150" w:type="dxa"/>
            </w:tcMar>
          </w:tcPr>
          <w:p w14:paraId="1F76D54D" w14:textId="77777777" w:rsidR="00BA06B5" w:rsidRDefault="00931E88">
            <w:r>
              <w:rPr>
                <w:color w:val="1A1A1A"/>
                <w:sz w:val="20"/>
                <w:szCs w:val="20"/>
              </w:rPr>
              <w:t>J+75</w:t>
            </w:r>
          </w:p>
        </w:tc>
      </w:tr>
      <w:tr w:rsidR="00BA06B5" w14:paraId="3781EB59" w14:textId="77777777">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6609F923" w14:textId="77777777" w:rsidR="00BA06B5" w:rsidRDefault="00931E88">
            <w:r>
              <w:rPr>
                <w:color w:val="1A1A1A"/>
                <w:sz w:val="20"/>
                <w:szCs w:val="20"/>
              </w:rPr>
              <w:t>L5</w:t>
            </w:r>
          </w:p>
        </w:tc>
        <w:tc>
          <w:tcPr>
            <w:tcW w:w="5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27A7A8FB" w14:textId="77777777" w:rsidR="00BA06B5" w:rsidRDefault="00931E88" w:rsidP="00017FF6">
            <w:pPr>
              <w:jc w:val="both"/>
            </w:pPr>
            <w:r>
              <w:rPr>
                <w:color w:val="1A1A1A"/>
                <w:sz w:val="20"/>
                <w:szCs w:val="20"/>
              </w:rPr>
              <w:t>Atelier de validation des résultats</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660A62EC" w14:textId="77777777" w:rsidR="00BA06B5" w:rsidRDefault="00931E88">
            <w:r>
              <w:rPr>
                <w:color w:val="1A1A1A"/>
                <w:sz w:val="20"/>
                <w:szCs w:val="20"/>
              </w:rPr>
              <w:t>J+80</w:t>
            </w:r>
          </w:p>
        </w:tc>
      </w:tr>
      <w:tr w:rsidR="00BA06B5" w14:paraId="58A3F3A5" w14:textId="77777777">
        <w:tc>
          <w:tcPr>
            <w:tcW w:w="2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50" w:type="dxa"/>
              <w:bottom w:w="80" w:type="dxa"/>
              <w:right w:w="150" w:type="dxa"/>
            </w:tcMar>
          </w:tcPr>
          <w:p w14:paraId="0E2E9997" w14:textId="77777777" w:rsidR="00BA06B5" w:rsidRDefault="00931E88">
            <w:r>
              <w:rPr>
                <w:color w:val="1A1A1A"/>
                <w:sz w:val="20"/>
                <w:szCs w:val="20"/>
              </w:rPr>
              <w:lastRenderedPageBreak/>
              <w:t>L6</w:t>
            </w:r>
          </w:p>
        </w:tc>
        <w:tc>
          <w:tcPr>
            <w:tcW w:w="55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50" w:type="dxa"/>
              <w:bottom w:w="80" w:type="dxa"/>
              <w:right w:w="150" w:type="dxa"/>
            </w:tcMar>
          </w:tcPr>
          <w:p w14:paraId="2CC6EAAE" w14:textId="77777777" w:rsidR="00BA06B5" w:rsidRDefault="00931E88" w:rsidP="00017FF6">
            <w:pPr>
              <w:jc w:val="both"/>
            </w:pPr>
            <w:r>
              <w:rPr>
                <w:color w:val="1A1A1A"/>
                <w:sz w:val="20"/>
                <w:szCs w:val="20"/>
              </w:rPr>
              <w:t>Rapport final intégrant les observations de la validation</w:t>
            </w:r>
          </w:p>
        </w:tc>
        <w:tc>
          <w:tcPr>
            <w:tcW w:w="18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50" w:type="dxa"/>
              <w:bottom w:w="80" w:type="dxa"/>
              <w:right w:w="150" w:type="dxa"/>
            </w:tcMar>
          </w:tcPr>
          <w:p w14:paraId="6625F139" w14:textId="77777777" w:rsidR="00BA06B5" w:rsidRDefault="00931E88">
            <w:r>
              <w:rPr>
                <w:color w:val="1A1A1A"/>
                <w:sz w:val="20"/>
                <w:szCs w:val="20"/>
              </w:rPr>
              <w:t>J+90</w:t>
            </w:r>
          </w:p>
        </w:tc>
      </w:tr>
      <w:tr w:rsidR="00BA06B5" w14:paraId="45736454" w14:textId="77777777">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24C6D5E9" w14:textId="77777777" w:rsidR="00BA06B5" w:rsidRDefault="00931E88">
            <w:r>
              <w:rPr>
                <w:color w:val="1A1A1A"/>
                <w:sz w:val="20"/>
                <w:szCs w:val="20"/>
              </w:rPr>
              <w:t>L7</w:t>
            </w:r>
          </w:p>
        </w:tc>
        <w:tc>
          <w:tcPr>
            <w:tcW w:w="5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7B0924BB" w14:textId="77777777" w:rsidR="00BA06B5" w:rsidRDefault="00931E88" w:rsidP="00017FF6">
            <w:pPr>
              <w:jc w:val="both"/>
            </w:pPr>
            <w:r>
              <w:rPr>
                <w:color w:val="1A1A1A"/>
                <w:sz w:val="20"/>
                <w:szCs w:val="20"/>
              </w:rPr>
              <w:t>Note de politique (policy brief) à l'attention des décideurs</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28D31904" w14:textId="77777777" w:rsidR="00BA06B5" w:rsidRDefault="00931E88">
            <w:r>
              <w:rPr>
                <w:color w:val="1A1A1A"/>
                <w:sz w:val="20"/>
                <w:szCs w:val="20"/>
              </w:rPr>
              <w:t>J+90</w:t>
            </w:r>
          </w:p>
        </w:tc>
      </w:tr>
      <w:tr w:rsidR="00BA06B5" w14:paraId="18CBCFAF" w14:textId="77777777">
        <w:tc>
          <w:tcPr>
            <w:tcW w:w="2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50" w:type="dxa"/>
              <w:bottom w:w="80" w:type="dxa"/>
              <w:right w:w="150" w:type="dxa"/>
            </w:tcMar>
          </w:tcPr>
          <w:p w14:paraId="76DCB4FE" w14:textId="77777777" w:rsidR="00BA06B5" w:rsidRDefault="00931E88">
            <w:r>
              <w:rPr>
                <w:color w:val="1A1A1A"/>
                <w:sz w:val="20"/>
                <w:szCs w:val="20"/>
              </w:rPr>
              <w:t>L8</w:t>
            </w:r>
          </w:p>
        </w:tc>
        <w:tc>
          <w:tcPr>
            <w:tcW w:w="55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50" w:type="dxa"/>
              <w:bottom w:w="80" w:type="dxa"/>
              <w:right w:w="150" w:type="dxa"/>
            </w:tcMar>
          </w:tcPr>
          <w:p w14:paraId="0C18633F" w14:textId="77777777" w:rsidR="00BA06B5" w:rsidRDefault="00931E88" w:rsidP="00017FF6">
            <w:pPr>
              <w:jc w:val="both"/>
            </w:pPr>
            <w:r>
              <w:rPr>
                <w:color w:val="1A1A1A"/>
                <w:sz w:val="20"/>
                <w:szCs w:val="20"/>
              </w:rPr>
              <w:t>Projets de textes législatifs/réglementaires (si recommandés)</w:t>
            </w:r>
          </w:p>
        </w:tc>
        <w:tc>
          <w:tcPr>
            <w:tcW w:w="18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50" w:type="dxa"/>
              <w:bottom w:w="80" w:type="dxa"/>
              <w:right w:w="150" w:type="dxa"/>
            </w:tcMar>
          </w:tcPr>
          <w:p w14:paraId="1EA41BD0" w14:textId="77777777" w:rsidR="00BA06B5" w:rsidRDefault="00931E88">
            <w:r>
              <w:rPr>
                <w:color w:val="1A1A1A"/>
                <w:sz w:val="20"/>
                <w:szCs w:val="20"/>
              </w:rPr>
              <w:t>J+90</w:t>
            </w:r>
          </w:p>
        </w:tc>
      </w:tr>
    </w:tbl>
    <w:p w14:paraId="5DEB2D3C" w14:textId="77777777" w:rsidR="00BA06B5" w:rsidRDefault="00BA06B5"/>
    <w:p w14:paraId="25361CD7" w14:textId="14A203D2" w:rsidR="00BA06B5" w:rsidRDefault="00931E88" w:rsidP="00017FF6">
      <w:pPr>
        <w:spacing w:before="80" w:after="80"/>
        <w:jc w:val="both"/>
        <w:rPr>
          <w:color w:val="1A1A1A"/>
        </w:rPr>
      </w:pPr>
      <w:r>
        <w:rPr>
          <w:color w:val="1A1A1A"/>
        </w:rPr>
        <w:t>Tous les livrables seront remis en version électronique (Word et PDF) et en trois exemplaires papier.</w:t>
      </w:r>
    </w:p>
    <w:p w14:paraId="26795460" w14:textId="77777777" w:rsidR="00017FF6" w:rsidRDefault="00017FF6" w:rsidP="00017FF6">
      <w:pPr>
        <w:spacing w:before="80" w:after="80"/>
        <w:jc w:val="both"/>
      </w:pPr>
    </w:p>
    <w:p w14:paraId="35E2C541" w14:textId="1B3DC623" w:rsidR="00BA06B5" w:rsidRDefault="00931E88" w:rsidP="00017FF6">
      <w:pPr>
        <w:pStyle w:val="Titre1"/>
        <w:pBdr>
          <w:bottom w:val="single" w:sz="8" w:space="4" w:color="C9A84C"/>
        </w:pBdr>
        <w:spacing w:before="0" w:line="276" w:lineRule="auto"/>
        <w:jc w:val="both"/>
      </w:pPr>
      <w:r>
        <w:rPr>
          <w:color w:val="1F4E79"/>
        </w:rPr>
        <w:t>VII. PROFIL DU CONSULTANT</w:t>
      </w:r>
    </w:p>
    <w:p w14:paraId="02D8D4B4" w14:textId="047DDE87" w:rsidR="00BA06B5" w:rsidRDefault="00931E88" w:rsidP="00017FF6">
      <w:pPr>
        <w:spacing w:after="120" w:line="276" w:lineRule="auto"/>
        <w:jc w:val="both"/>
      </w:pPr>
      <w:r>
        <w:rPr>
          <w:color w:val="1A1A1A"/>
        </w:rPr>
        <w:t>La mission sera confiée à un cabinet de consultants justifiant des qualifications suivantes :</w:t>
      </w:r>
    </w:p>
    <w:p w14:paraId="5364B3F0" w14:textId="77777777" w:rsidR="00BA06B5" w:rsidRDefault="00931E88" w:rsidP="00017FF6">
      <w:pPr>
        <w:pStyle w:val="Titre2"/>
        <w:spacing w:before="0" w:after="120" w:line="276" w:lineRule="auto"/>
        <w:jc w:val="both"/>
      </w:pPr>
      <w:r>
        <w:rPr>
          <w:color w:val="2E75B6"/>
        </w:rPr>
        <w:t>7.1 Qualifications académiques et professionnelles</w:t>
      </w:r>
    </w:p>
    <w:p w14:paraId="5957E105" w14:textId="77777777" w:rsidR="00BA06B5" w:rsidRDefault="00931E88" w:rsidP="00017FF6">
      <w:pPr>
        <w:pStyle w:val="Paragraphedeliste"/>
        <w:numPr>
          <w:ilvl w:val="0"/>
          <w:numId w:val="2"/>
        </w:numPr>
        <w:spacing w:after="120" w:line="276" w:lineRule="auto"/>
        <w:jc w:val="both"/>
      </w:pPr>
      <w:r>
        <w:rPr>
          <w:color w:val="1A1A1A"/>
        </w:rPr>
        <w:t>Diplôme de niveau Bac+5 minimum en droit (droit des affaires, droit privé, droit OHADA) ou en sciences politiques avec spécialisation en réforme judiciaire ;</w:t>
      </w:r>
    </w:p>
    <w:p w14:paraId="1B605DB4" w14:textId="77777777" w:rsidR="00BA06B5" w:rsidRDefault="00931E88" w:rsidP="00017FF6">
      <w:pPr>
        <w:pStyle w:val="Paragraphedeliste"/>
        <w:numPr>
          <w:ilvl w:val="0"/>
          <w:numId w:val="2"/>
        </w:numPr>
        <w:spacing w:after="120" w:line="276" w:lineRule="auto"/>
        <w:jc w:val="both"/>
      </w:pPr>
      <w:r>
        <w:rPr>
          <w:color w:val="1A1A1A"/>
        </w:rPr>
        <w:t>Expérience confirmée d'au moins dix (10) ans dans les domaines du droit des affaires, de la réforme judiciaire ou de l'amélioration du climat des affaires ;</w:t>
      </w:r>
    </w:p>
    <w:p w14:paraId="5AF7708C" w14:textId="77777777" w:rsidR="00BA06B5" w:rsidRDefault="00931E88" w:rsidP="00017FF6">
      <w:pPr>
        <w:pStyle w:val="Paragraphedeliste"/>
        <w:numPr>
          <w:ilvl w:val="0"/>
          <w:numId w:val="2"/>
        </w:numPr>
        <w:spacing w:after="120" w:line="276" w:lineRule="auto"/>
        <w:jc w:val="both"/>
      </w:pPr>
      <w:r>
        <w:rPr>
          <w:color w:val="1A1A1A"/>
        </w:rPr>
        <w:t>Connaissance approfondie du droit OHADA et des systèmes judiciaires des États membres ;</w:t>
      </w:r>
    </w:p>
    <w:p w14:paraId="61A58080" w14:textId="77777777" w:rsidR="00BA06B5" w:rsidRDefault="00931E88" w:rsidP="00017FF6">
      <w:pPr>
        <w:pStyle w:val="Paragraphedeliste"/>
        <w:numPr>
          <w:ilvl w:val="0"/>
          <w:numId w:val="2"/>
        </w:numPr>
        <w:spacing w:after="120" w:line="276" w:lineRule="auto"/>
        <w:jc w:val="both"/>
      </w:pPr>
      <w:r>
        <w:rPr>
          <w:color w:val="1A1A1A"/>
        </w:rPr>
        <w:t>Expérience avérée dans la conduite de diagnostics institutionnels et de missions d'évaluation similaires en Afrique subsaharienne.</w:t>
      </w:r>
    </w:p>
    <w:p w14:paraId="1E2D309E" w14:textId="77777777" w:rsidR="00017FF6" w:rsidRDefault="00017FF6"/>
    <w:p w14:paraId="14E7BA8B" w14:textId="77777777" w:rsidR="00BA06B5" w:rsidRDefault="00931E88" w:rsidP="00017FF6">
      <w:pPr>
        <w:pStyle w:val="Titre2"/>
        <w:spacing w:before="0" w:after="120"/>
        <w:jc w:val="both"/>
      </w:pPr>
      <w:r>
        <w:rPr>
          <w:color w:val="2E75B6"/>
        </w:rPr>
        <w:t>7.2 Compétences spécifiques</w:t>
      </w:r>
    </w:p>
    <w:p w14:paraId="18EC1FBE" w14:textId="77777777" w:rsidR="00BA06B5" w:rsidRDefault="00931E88" w:rsidP="00017FF6">
      <w:pPr>
        <w:pStyle w:val="Paragraphedeliste"/>
        <w:numPr>
          <w:ilvl w:val="0"/>
          <w:numId w:val="2"/>
        </w:numPr>
        <w:spacing w:after="120"/>
        <w:jc w:val="both"/>
      </w:pPr>
      <w:r>
        <w:rPr>
          <w:color w:val="1A1A1A"/>
        </w:rPr>
        <w:t>Maîtrise de la procédure civile et commerciale tchadienne ou d'un pays de droit civil francophone ;</w:t>
      </w:r>
    </w:p>
    <w:p w14:paraId="358A8D2C" w14:textId="77777777" w:rsidR="00BA06B5" w:rsidRDefault="00931E88" w:rsidP="00017FF6">
      <w:pPr>
        <w:pStyle w:val="Paragraphedeliste"/>
        <w:numPr>
          <w:ilvl w:val="0"/>
          <w:numId w:val="2"/>
        </w:numPr>
        <w:spacing w:after="120"/>
        <w:jc w:val="both"/>
      </w:pPr>
      <w:r>
        <w:rPr>
          <w:color w:val="1A1A1A"/>
        </w:rPr>
        <w:t>Capacité à conduire des entretiens, des consultations participatives et des ateliers de validation ;</w:t>
      </w:r>
    </w:p>
    <w:p w14:paraId="1F569FF6" w14:textId="77777777" w:rsidR="00BA06B5" w:rsidRDefault="00931E88" w:rsidP="00017FF6">
      <w:pPr>
        <w:pStyle w:val="Paragraphedeliste"/>
        <w:numPr>
          <w:ilvl w:val="0"/>
          <w:numId w:val="2"/>
        </w:numPr>
        <w:spacing w:after="120"/>
        <w:jc w:val="both"/>
      </w:pPr>
      <w:r>
        <w:rPr>
          <w:color w:val="1A1A1A"/>
        </w:rPr>
        <w:t>Compétences rédactionnelles en français avec une expérience dans la rédaction de textes législatifs ;</w:t>
      </w:r>
    </w:p>
    <w:p w14:paraId="09897966" w14:textId="4B971A90" w:rsidR="00BA06B5" w:rsidRPr="00017FF6" w:rsidRDefault="00931E88" w:rsidP="00017FF6">
      <w:pPr>
        <w:pStyle w:val="Paragraphedeliste"/>
        <w:numPr>
          <w:ilvl w:val="0"/>
          <w:numId w:val="2"/>
        </w:numPr>
        <w:spacing w:after="120"/>
        <w:jc w:val="both"/>
      </w:pPr>
      <w:r>
        <w:rPr>
          <w:color w:val="1A1A1A"/>
        </w:rPr>
        <w:t xml:space="preserve">Connaissance des indicateurs d'environnement des affaires (B-READY de la Banque </w:t>
      </w:r>
      <w:r w:rsidR="001F17EC">
        <w:rPr>
          <w:color w:val="1A1A1A"/>
        </w:rPr>
        <w:t>m</w:t>
      </w:r>
      <w:r>
        <w:rPr>
          <w:color w:val="1A1A1A"/>
        </w:rPr>
        <w:t>ondiale).</w:t>
      </w:r>
    </w:p>
    <w:p w14:paraId="00450BA4" w14:textId="77777777" w:rsidR="00017FF6" w:rsidRDefault="00017FF6" w:rsidP="00017FF6">
      <w:pPr>
        <w:pStyle w:val="Paragraphedeliste"/>
        <w:spacing w:after="120"/>
        <w:ind w:left="720"/>
        <w:jc w:val="both"/>
      </w:pPr>
    </w:p>
    <w:p w14:paraId="5F96AD74" w14:textId="5DD5851B" w:rsidR="00BA06B5" w:rsidRDefault="00931E88" w:rsidP="00017FF6">
      <w:pPr>
        <w:pStyle w:val="Titre1"/>
        <w:pBdr>
          <w:bottom w:val="single" w:sz="8" w:space="4" w:color="C9A84C"/>
        </w:pBdr>
        <w:spacing w:before="0"/>
      </w:pPr>
      <w:r>
        <w:rPr>
          <w:color w:val="1F4E79"/>
        </w:rPr>
        <w:t>VIII. DURÉE ET CALENDRIER DE LA MISSION</w:t>
      </w:r>
    </w:p>
    <w:p w14:paraId="52F91032" w14:textId="762A2B5E" w:rsidR="00BA06B5" w:rsidRDefault="00931E88" w:rsidP="00017FF6">
      <w:pPr>
        <w:spacing w:after="120" w:line="276" w:lineRule="auto"/>
        <w:jc w:val="both"/>
      </w:pPr>
      <w:r>
        <w:rPr>
          <w:color w:val="1A1A1A"/>
        </w:rPr>
        <w:t>La mission est prévue pour une durée de quatre-vingt-dix (90) jours calendaires à compter de la date de signature du contrat, avec le calendrier indicatif suivant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BA06B5" w14:paraId="1EF0E382" w14:textId="77777777">
        <w:tc>
          <w:tcPr>
            <w:tcW w:w="4680" w:type="dxa"/>
            <w:tcBorders>
              <w:top w:val="single" w:sz="1" w:space="0" w:color="CCCCCC"/>
              <w:left w:val="single" w:sz="1" w:space="0" w:color="CCCCCC"/>
              <w:bottom w:val="single" w:sz="1" w:space="0" w:color="CCCCCC"/>
              <w:right w:val="single" w:sz="1" w:space="0" w:color="CCCCCC"/>
            </w:tcBorders>
            <w:shd w:val="clear" w:color="auto" w:fill="1F4E79"/>
            <w:tcMar>
              <w:top w:w="100" w:type="dxa"/>
              <w:left w:w="150" w:type="dxa"/>
              <w:bottom w:w="100" w:type="dxa"/>
              <w:right w:w="150" w:type="dxa"/>
            </w:tcMar>
          </w:tcPr>
          <w:p w14:paraId="37EF2FA6" w14:textId="77777777" w:rsidR="00BA06B5" w:rsidRDefault="00931E88">
            <w:r>
              <w:rPr>
                <w:b/>
                <w:bCs/>
                <w:color w:val="FFFFFF"/>
                <w:sz w:val="20"/>
                <w:szCs w:val="20"/>
              </w:rPr>
              <w:t>Période</w:t>
            </w:r>
          </w:p>
        </w:tc>
        <w:tc>
          <w:tcPr>
            <w:tcW w:w="4680" w:type="dxa"/>
            <w:tcBorders>
              <w:top w:val="single" w:sz="1" w:space="0" w:color="CCCCCC"/>
              <w:left w:val="single" w:sz="1" w:space="0" w:color="CCCCCC"/>
              <w:bottom w:val="single" w:sz="1" w:space="0" w:color="CCCCCC"/>
              <w:right w:val="single" w:sz="1" w:space="0" w:color="CCCCCC"/>
            </w:tcBorders>
            <w:shd w:val="clear" w:color="auto" w:fill="1F4E79"/>
            <w:tcMar>
              <w:top w:w="100" w:type="dxa"/>
              <w:left w:w="150" w:type="dxa"/>
              <w:bottom w:w="100" w:type="dxa"/>
              <w:right w:w="150" w:type="dxa"/>
            </w:tcMar>
          </w:tcPr>
          <w:p w14:paraId="6E03B2D7" w14:textId="77777777" w:rsidR="00BA06B5" w:rsidRDefault="00931E88">
            <w:r>
              <w:rPr>
                <w:b/>
                <w:bCs/>
                <w:color w:val="FFFFFF"/>
                <w:sz w:val="20"/>
                <w:szCs w:val="20"/>
              </w:rPr>
              <w:t>Activités</w:t>
            </w:r>
          </w:p>
        </w:tc>
      </w:tr>
      <w:tr w:rsidR="00BA06B5" w14:paraId="7FD7CC46" w14:textId="77777777">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1A54C061" w14:textId="77777777" w:rsidR="00BA06B5" w:rsidRDefault="00931E88">
            <w:r>
              <w:rPr>
                <w:color w:val="1A1A1A"/>
                <w:sz w:val="20"/>
                <w:szCs w:val="20"/>
              </w:rPr>
              <w:t>Semaines 1–2</w:t>
            </w: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40650E06" w14:textId="77777777" w:rsidR="00BA06B5" w:rsidRDefault="00931E88" w:rsidP="00017FF6">
            <w:pPr>
              <w:jc w:val="both"/>
            </w:pPr>
            <w:r>
              <w:rPr>
                <w:color w:val="1A1A1A"/>
                <w:sz w:val="20"/>
                <w:szCs w:val="20"/>
              </w:rPr>
              <w:t>Mobilisation, revue documentaire, finalisation de la note de démarrage</w:t>
            </w:r>
          </w:p>
        </w:tc>
      </w:tr>
      <w:tr w:rsidR="00BA06B5" w14:paraId="69F69756" w14:textId="77777777">
        <w:tc>
          <w:tcPr>
            <w:tcW w:w="468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50" w:type="dxa"/>
              <w:bottom w:w="80" w:type="dxa"/>
              <w:right w:w="150" w:type="dxa"/>
            </w:tcMar>
          </w:tcPr>
          <w:p w14:paraId="14C4A04E" w14:textId="77777777" w:rsidR="00BA06B5" w:rsidRDefault="00931E88">
            <w:r>
              <w:rPr>
                <w:color w:val="1A1A1A"/>
                <w:sz w:val="20"/>
                <w:szCs w:val="20"/>
              </w:rPr>
              <w:t>Semaines 3–4</w:t>
            </w:r>
          </w:p>
        </w:tc>
        <w:tc>
          <w:tcPr>
            <w:tcW w:w="468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50" w:type="dxa"/>
              <w:bottom w:w="80" w:type="dxa"/>
              <w:right w:w="150" w:type="dxa"/>
            </w:tcMar>
          </w:tcPr>
          <w:p w14:paraId="56468203" w14:textId="77777777" w:rsidR="00BA06B5" w:rsidRDefault="00931E88" w:rsidP="00017FF6">
            <w:pPr>
              <w:jc w:val="both"/>
            </w:pPr>
            <w:r>
              <w:rPr>
                <w:color w:val="1A1A1A"/>
                <w:sz w:val="20"/>
                <w:szCs w:val="20"/>
              </w:rPr>
              <w:t>Revue approfondie du cadre juridique et analyse comparative OHADA</w:t>
            </w:r>
          </w:p>
        </w:tc>
      </w:tr>
      <w:tr w:rsidR="00BA06B5" w14:paraId="31DA6AA8" w14:textId="77777777">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3418ADD0" w14:textId="77777777" w:rsidR="00BA06B5" w:rsidRDefault="00931E88">
            <w:r>
              <w:rPr>
                <w:color w:val="1A1A1A"/>
                <w:sz w:val="20"/>
                <w:szCs w:val="20"/>
              </w:rPr>
              <w:lastRenderedPageBreak/>
              <w:t>Semaines 5–8</w:t>
            </w: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31D0C9CC" w14:textId="77777777" w:rsidR="00BA06B5" w:rsidRDefault="00931E88" w:rsidP="00017FF6">
            <w:pPr>
              <w:jc w:val="both"/>
            </w:pPr>
            <w:r>
              <w:rPr>
                <w:color w:val="1A1A1A"/>
                <w:sz w:val="20"/>
                <w:szCs w:val="20"/>
              </w:rPr>
              <w:t>Collecte de données terrain (entretiens, questionnaires, visites)</w:t>
            </w:r>
          </w:p>
        </w:tc>
      </w:tr>
      <w:tr w:rsidR="00BA06B5" w14:paraId="5EEDF750" w14:textId="77777777">
        <w:tc>
          <w:tcPr>
            <w:tcW w:w="468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50" w:type="dxa"/>
              <w:bottom w:w="80" w:type="dxa"/>
              <w:right w:w="150" w:type="dxa"/>
            </w:tcMar>
          </w:tcPr>
          <w:p w14:paraId="233A76D1" w14:textId="77777777" w:rsidR="00BA06B5" w:rsidRDefault="00931E88">
            <w:r>
              <w:rPr>
                <w:color w:val="1A1A1A"/>
                <w:sz w:val="20"/>
                <w:szCs w:val="20"/>
              </w:rPr>
              <w:t>Semaines 9–10</w:t>
            </w:r>
          </w:p>
        </w:tc>
        <w:tc>
          <w:tcPr>
            <w:tcW w:w="468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50" w:type="dxa"/>
              <w:bottom w:w="80" w:type="dxa"/>
              <w:right w:w="150" w:type="dxa"/>
            </w:tcMar>
          </w:tcPr>
          <w:p w14:paraId="14ECE3DB" w14:textId="77777777" w:rsidR="00BA06B5" w:rsidRDefault="00931E88" w:rsidP="00017FF6">
            <w:pPr>
              <w:jc w:val="both"/>
            </w:pPr>
            <w:r>
              <w:rPr>
                <w:color w:val="1A1A1A"/>
                <w:sz w:val="20"/>
                <w:szCs w:val="20"/>
              </w:rPr>
              <w:t>Analyse des données et élaboration du rapport provisoire</w:t>
            </w:r>
          </w:p>
        </w:tc>
      </w:tr>
      <w:tr w:rsidR="00BA06B5" w14:paraId="755D7300" w14:textId="77777777">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6A359F16" w14:textId="77777777" w:rsidR="00BA06B5" w:rsidRDefault="00931E88">
            <w:r>
              <w:rPr>
                <w:color w:val="1A1A1A"/>
                <w:sz w:val="20"/>
                <w:szCs w:val="20"/>
              </w:rPr>
              <w:t>Semaine 11</w:t>
            </w: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262505D5" w14:textId="77777777" w:rsidR="00BA06B5" w:rsidRDefault="00931E88" w:rsidP="00017FF6">
            <w:pPr>
              <w:jc w:val="both"/>
            </w:pPr>
            <w:r>
              <w:rPr>
                <w:color w:val="1A1A1A"/>
                <w:sz w:val="20"/>
                <w:szCs w:val="20"/>
              </w:rPr>
              <w:t>Présentation et atelier de validation des conclusions provisoires</w:t>
            </w:r>
          </w:p>
        </w:tc>
      </w:tr>
      <w:tr w:rsidR="00BA06B5" w14:paraId="2069AB65" w14:textId="77777777">
        <w:tc>
          <w:tcPr>
            <w:tcW w:w="468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50" w:type="dxa"/>
              <w:bottom w:w="80" w:type="dxa"/>
              <w:right w:w="150" w:type="dxa"/>
            </w:tcMar>
          </w:tcPr>
          <w:p w14:paraId="1D11B0CD" w14:textId="77777777" w:rsidR="00BA06B5" w:rsidRDefault="00931E88">
            <w:r>
              <w:rPr>
                <w:color w:val="1A1A1A"/>
                <w:sz w:val="20"/>
                <w:szCs w:val="20"/>
              </w:rPr>
              <w:t>Semaines 12–13</w:t>
            </w:r>
          </w:p>
        </w:tc>
        <w:tc>
          <w:tcPr>
            <w:tcW w:w="468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50" w:type="dxa"/>
              <w:bottom w:w="80" w:type="dxa"/>
              <w:right w:w="150" w:type="dxa"/>
            </w:tcMar>
          </w:tcPr>
          <w:p w14:paraId="4AB86E3B" w14:textId="77777777" w:rsidR="00BA06B5" w:rsidRDefault="00931E88" w:rsidP="00017FF6">
            <w:pPr>
              <w:jc w:val="both"/>
            </w:pPr>
            <w:r>
              <w:rPr>
                <w:color w:val="1A1A1A"/>
                <w:sz w:val="20"/>
                <w:szCs w:val="20"/>
              </w:rPr>
              <w:t>Finalisation du rapport, projets de textes et note de politique</w:t>
            </w:r>
          </w:p>
        </w:tc>
      </w:tr>
    </w:tbl>
    <w:p w14:paraId="10E112FE" w14:textId="77777777" w:rsidR="00BA06B5" w:rsidRDefault="00BA06B5"/>
    <w:p w14:paraId="5F036B1E" w14:textId="4ACEAC6F" w:rsidR="00BA06B5" w:rsidRDefault="00931E88" w:rsidP="00017FF6">
      <w:pPr>
        <w:pStyle w:val="Titre1"/>
        <w:pBdr>
          <w:bottom w:val="single" w:sz="8" w:space="4" w:color="C9A84C"/>
        </w:pBdr>
      </w:pPr>
      <w:r>
        <w:rPr>
          <w:color w:val="1F4E79"/>
        </w:rPr>
        <w:t>IX. CADRE INSTITUTIONNEL ET SUPERVISION</w:t>
      </w:r>
    </w:p>
    <w:p w14:paraId="21314E25" w14:textId="755BD8CE" w:rsidR="00BA06B5" w:rsidRDefault="00931E88" w:rsidP="00017FF6">
      <w:pPr>
        <w:spacing w:after="120" w:line="276" w:lineRule="auto"/>
        <w:jc w:val="both"/>
      </w:pPr>
      <w:r>
        <w:rPr>
          <w:color w:val="1A1A1A"/>
        </w:rPr>
        <w:t>La mission sera placée sous la responsabilité du</w:t>
      </w:r>
      <w:r w:rsidR="00017FF6">
        <w:rPr>
          <w:color w:val="1A1A1A"/>
        </w:rPr>
        <w:t xml:space="preserve"> Ministère du Commerce et de l’Industrie et</w:t>
      </w:r>
      <w:r>
        <w:rPr>
          <w:color w:val="1A1A1A"/>
        </w:rPr>
        <w:t xml:space="preserve"> Ministère de la Justice et des Droits Humains</w:t>
      </w:r>
      <w:r w:rsidR="00017FF6">
        <w:rPr>
          <w:color w:val="1A1A1A"/>
        </w:rPr>
        <w:t>.</w:t>
      </w:r>
      <w:r>
        <w:rPr>
          <w:color w:val="1A1A1A"/>
        </w:rPr>
        <w:t xml:space="preserve"> Un comité de pilotage sera constitué et comprendra des représentants des institutions suivantes :</w:t>
      </w:r>
    </w:p>
    <w:p w14:paraId="4DD39F10" w14:textId="2D85D4E2" w:rsidR="00017FF6" w:rsidRPr="00017FF6" w:rsidRDefault="00017FF6" w:rsidP="00017FF6">
      <w:pPr>
        <w:pStyle w:val="Paragraphedeliste"/>
        <w:numPr>
          <w:ilvl w:val="0"/>
          <w:numId w:val="2"/>
        </w:numPr>
        <w:spacing w:after="120" w:line="276" w:lineRule="auto"/>
        <w:jc w:val="both"/>
      </w:pPr>
      <w:r>
        <w:rPr>
          <w:color w:val="1A1A1A"/>
        </w:rPr>
        <w:t xml:space="preserve">Ministère du Commerce et de l’Industrie (Président du comité) ; </w:t>
      </w:r>
    </w:p>
    <w:p w14:paraId="7B8F98A9" w14:textId="2316674E" w:rsidR="00BA06B5" w:rsidRDefault="00931E88" w:rsidP="00017FF6">
      <w:pPr>
        <w:pStyle w:val="Paragraphedeliste"/>
        <w:numPr>
          <w:ilvl w:val="0"/>
          <w:numId w:val="2"/>
        </w:numPr>
        <w:spacing w:after="120" w:line="276" w:lineRule="auto"/>
        <w:jc w:val="both"/>
      </w:pPr>
      <w:r>
        <w:rPr>
          <w:color w:val="1A1A1A"/>
        </w:rPr>
        <w:t>Ministère de la Justice et des Droits Humains</w:t>
      </w:r>
      <w:r w:rsidR="00017FF6">
        <w:rPr>
          <w:color w:val="1A1A1A"/>
        </w:rPr>
        <w:t xml:space="preserve"> (Vice-président du Comité) </w:t>
      </w:r>
      <w:r>
        <w:rPr>
          <w:color w:val="1A1A1A"/>
        </w:rPr>
        <w:t>;</w:t>
      </w:r>
    </w:p>
    <w:p w14:paraId="4EE08693" w14:textId="77777777" w:rsidR="00BA06B5" w:rsidRDefault="00931E88" w:rsidP="00017FF6">
      <w:pPr>
        <w:pStyle w:val="Paragraphedeliste"/>
        <w:numPr>
          <w:ilvl w:val="0"/>
          <w:numId w:val="2"/>
        </w:numPr>
        <w:spacing w:after="120" w:line="276" w:lineRule="auto"/>
        <w:jc w:val="both"/>
      </w:pPr>
      <w:r>
        <w:rPr>
          <w:color w:val="1A1A1A"/>
        </w:rPr>
        <w:t>Cour Suprême du Tchad ;</w:t>
      </w:r>
    </w:p>
    <w:p w14:paraId="1697A6EC" w14:textId="77777777" w:rsidR="00BA06B5" w:rsidRDefault="00931E88" w:rsidP="00017FF6">
      <w:pPr>
        <w:pStyle w:val="Paragraphedeliste"/>
        <w:numPr>
          <w:ilvl w:val="0"/>
          <w:numId w:val="2"/>
        </w:numPr>
        <w:spacing w:after="120" w:line="276" w:lineRule="auto"/>
        <w:jc w:val="both"/>
      </w:pPr>
      <w:r>
        <w:rPr>
          <w:color w:val="1A1A1A"/>
        </w:rPr>
        <w:t>Cour d'Appel de N'Djaména ;</w:t>
      </w:r>
    </w:p>
    <w:p w14:paraId="2BC18001" w14:textId="77777777" w:rsidR="00BA06B5" w:rsidRDefault="00931E88" w:rsidP="00017FF6">
      <w:pPr>
        <w:pStyle w:val="Paragraphedeliste"/>
        <w:numPr>
          <w:ilvl w:val="0"/>
          <w:numId w:val="2"/>
        </w:numPr>
        <w:spacing w:after="120" w:line="276" w:lineRule="auto"/>
        <w:jc w:val="both"/>
      </w:pPr>
      <w:r>
        <w:rPr>
          <w:color w:val="1A1A1A"/>
        </w:rPr>
        <w:t>Chambre de Commerce, d'Industrie, d'Agriculture, des Mines et d'Artisanat (CCIAMA) ;</w:t>
      </w:r>
    </w:p>
    <w:p w14:paraId="1F0AFF55" w14:textId="77777777" w:rsidR="00017FF6" w:rsidRPr="00017FF6" w:rsidRDefault="00931E88" w:rsidP="00017FF6">
      <w:pPr>
        <w:pStyle w:val="Paragraphedeliste"/>
        <w:numPr>
          <w:ilvl w:val="0"/>
          <w:numId w:val="2"/>
        </w:numPr>
        <w:spacing w:after="120" w:line="276" w:lineRule="auto"/>
        <w:jc w:val="both"/>
      </w:pPr>
      <w:r>
        <w:rPr>
          <w:color w:val="1A1A1A"/>
        </w:rPr>
        <w:t xml:space="preserve">Ordre des Avocats du Tchad </w:t>
      </w:r>
    </w:p>
    <w:p w14:paraId="395877E3" w14:textId="46673DC1" w:rsidR="00BA06B5" w:rsidRDefault="00017FF6" w:rsidP="00017FF6">
      <w:pPr>
        <w:pStyle w:val="Paragraphedeliste"/>
        <w:numPr>
          <w:ilvl w:val="0"/>
          <w:numId w:val="2"/>
        </w:numPr>
        <w:spacing w:after="120" w:line="276" w:lineRule="auto"/>
        <w:jc w:val="both"/>
      </w:pPr>
      <w:r>
        <w:rPr>
          <w:color w:val="1A1A1A"/>
        </w:rPr>
        <w:t xml:space="preserve">Chambre Nationale des Huissiers de Justice du Tchad </w:t>
      </w:r>
      <w:r w:rsidR="00931E88">
        <w:rPr>
          <w:color w:val="1A1A1A"/>
        </w:rPr>
        <w:t>;</w:t>
      </w:r>
    </w:p>
    <w:p w14:paraId="0D3BAFD7" w14:textId="7811ED61" w:rsidR="00BA06B5" w:rsidRDefault="00931E88" w:rsidP="00017FF6">
      <w:pPr>
        <w:pStyle w:val="Paragraphedeliste"/>
        <w:numPr>
          <w:ilvl w:val="0"/>
          <w:numId w:val="2"/>
        </w:numPr>
        <w:spacing w:after="120" w:line="276" w:lineRule="auto"/>
        <w:jc w:val="both"/>
      </w:pPr>
      <w:r>
        <w:rPr>
          <w:color w:val="1A1A1A"/>
        </w:rPr>
        <w:t>Partenaires techniques et financiers impliqués dans la réforme judiciaire.</w:t>
      </w:r>
    </w:p>
    <w:p w14:paraId="2DEC8332" w14:textId="5ABF463A" w:rsidR="00BA06B5" w:rsidRDefault="00931E88" w:rsidP="00017FF6">
      <w:pPr>
        <w:spacing w:after="120" w:line="276" w:lineRule="auto"/>
        <w:jc w:val="both"/>
      </w:pPr>
      <w:r>
        <w:rPr>
          <w:color w:val="1A1A1A"/>
        </w:rPr>
        <w:t>Le comité de pilotage assurera la supervision stratégique de la mission, l'approbation des livrables et la diffusion des résultats. Un point focal désigné au sein du Ministère de la Justice sera l'interlocuteur quotidien du consultant.</w:t>
      </w:r>
    </w:p>
    <w:p w14:paraId="6571D287" w14:textId="77777777" w:rsidR="00BA06B5" w:rsidRDefault="00931E88">
      <w:pPr>
        <w:pStyle w:val="Titre1"/>
        <w:pBdr>
          <w:bottom w:val="single" w:sz="8" w:space="4" w:color="C9A84C"/>
        </w:pBdr>
      </w:pPr>
      <w:r>
        <w:rPr>
          <w:color w:val="1F4E79"/>
        </w:rPr>
        <w:t>X. BASE JURIDIQUE ET RÉFÉRENCES DOCUMENTAIRES</w:t>
      </w:r>
    </w:p>
    <w:p w14:paraId="78ABA191" w14:textId="76F60E09" w:rsidR="00BA06B5" w:rsidRDefault="00931E88" w:rsidP="00017FF6">
      <w:pPr>
        <w:spacing w:after="120" w:line="276" w:lineRule="auto"/>
        <w:jc w:val="both"/>
      </w:pPr>
      <w:r>
        <w:rPr>
          <w:color w:val="1A1A1A"/>
        </w:rPr>
        <w:t>La mission s'appuiera notamment sur les textes de référence suivants :</w:t>
      </w:r>
    </w:p>
    <w:p w14:paraId="6B62254B" w14:textId="77777777" w:rsidR="00BA06B5" w:rsidRDefault="00931E88" w:rsidP="00017FF6">
      <w:pPr>
        <w:pStyle w:val="Titre2"/>
        <w:spacing w:before="0" w:after="120" w:line="276" w:lineRule="auto"/>
        <w:jc w:val="both"/>
      </w:pPr>
      <w:r>
        <w:rPr>
          <w:color w:val="2E75B6"/>
        </w:rPr>
        <w:t>10.1 Textes nationaux</w:t>
      </w:r>
    </w:p>
    <w:p w14:paraId="2F3DA48F" w14:textId="527E516A" w:rsidR="00BA06B5" w:rsidRDefault="00931E88" w:rsidP="00017FF6">
      <w:pPr>
        <w:pStyle w:val="Paragraphedeliste"/>
        <w:numPr>
          <w:ilvl w:val="0"/>
          <w:numId w:val="2"/>
        </w:numPr>
        <w:spacing w:after="120" w:line="276" w:lineRule="auto"/>
        <w:jc w:val="both"/>
      </w:pPr>
      <w:r>
        <w:rPr>
          <w:color w:val="1A1A1A"/>
        </w:rPr>
        <w:t>Ordonnance N°009</w:t>
      </w:r>
      <w:r w:rsidR="00017FF6">
        <w:rPr>
          <w:color w:val="1A1A1A"/>
        </w:rPr>
        <w:t>/PR/2004</w:t>
      </w:r>
      <w:r>
        <w:rPr>
          <w:color w:val="1A1A1A"/>
        </w:rPr>
        <w:t xml:space="preserve"> du 23 août 2004 portant organisation et fonctionnement des tribunaux de commerce (25 articles) ;</w:t>
      </w:r>
    </w:p>
    <w:p w14:paraId="6ADED498" w14:textId="77777777" w:rsidR="00BA06B5" w:rsidRDefault="00931E88" w:rsidP="00017FF6">
      <w:pPr>
        <w:pStyle w:val="Paragraphedeliste"/>
        <w:numPr>
          <w:ilvl w:val="0"/>
          <w:numId w:val="2"/>
        </w:numPr>
        <w:spacing w:after="120" w:line="276" w:lineRule="auto"/>
        <w:jc w:val="both"/>
      </w:pPr>
      <w:r>
        <w:rPr>
          <w:color w:val="1A1A1A"/>
        </w:rPr>
        <w:t>Loi N° 028/PR/2020 portant Code de Procédure Civile, Commerciale et Sociale (promulguée le 15 décembre 2020) ;</w:t>
      </w:r>
    </w:p>
    <w:p w14:paraId="018EB279" w14:textId="77777777" w:rsidR="00BA06B5" w:rsidRDefault="00931E88" w:rsidP="00017FF6">
      <w:pPr>
        <w:pStyle w:val="Paragraphedeliste"/>
        <w:numPr>
          <w:ilvl w:val="0"/>
          <w:numId w:val="2"/>
        </w:numPr>
        <w:spacing w:after="120" w:line="276" w:lineRule="auto"/>
        <w:jc w:val="both"/>
      </w:pPr>
      <w:r>
        <w:rPr>
          <w:color w:val="1A1A1A"/>
        </w:rPr>
        <w:t>Constitution de la République du Tchad ;</w:t>
      </w:r>
    </w:p>
    <w:p w14:paraId="6B2302D2" w14:textId="76D2D2DE" w:rsidR="00BA06B5" w:rsidRPr="00033657" w:rsidRDefault="00931E88" w:rsidP="00033657">
      <w:pPr>
        <w:pStyle w:val="Paragraphedeliste"/>
        <w:numPr>
          <w:ilvl w:val="0"/>
          <w:numId w:val="2"/>
        </w:numPr>
        <w:spacing w:after="120" w:line="276" w:lineRule="auto"/>
        <w:jc w:val="both"/>
      </w:pPr>
      <w:r>
        <w:rPr>
          <w:color w:val="1A1A1A"/>
        </w:rPr>
        <w:t>Loi N° 010/PR/2004 du 03 juin 2004 portant habilitation du Gouvernement à légiférer par ordonnance.</w:t>
      </w:r>
    </w:p>
    <w:p w14:paraId="10F08A95" w14:textId="77777777" w:rsidR="00033657" w:rsidRDefault="00033657" w:rsidP="00033657">
      <w:pPr>
        <w:pStyle w:val="Paragraphedeliste"/>
        <w:spacing w:after="120" w:line="276" w:lineRule="auto"/>
        <w:ind w:left="720"/>
        <w:jc w:val="both"/>
      </w:pPr>
    </w:p>
    <w:p w14:paraId="3930206F" w14:textId="77777777" w:rsidR="00BA06B5" w:rsidRDefault="00931E88" w:rsidP="00033657">
      <w:pPr>
        <w:pStyle w:val="Titre2"/>
        <w:spacing w:before="0" w:after="120" w:line="276" w:lineRule="auto"/>
        <w:jc w:val="both"/>
      </w:pPr>
      <w:r>
        <w:rPr>
          <w:color w:val="2E75B6"/>
        </w:rPr>
        <w:lastRenderedPageBreak/>
        <w:t>10.2 Textes OHADA</w:t>
      </w:r>
    </w:p>
    <w:p w14:paraId="06591CC4" w14:textId="77777777" w:rsidR="00BA06B5" w:rsidRDefault="00931E88" w:rsidP="00033657">
      <w:pPr>
        <w:pStyle w:val="Paragraphedeliste"/>
        <w:numPr>
          <w:ilvl w:val="0"/>
          <w:numId w:val="2"/>
        </w:numPr>
        <w:spacing w:after="120" w:line="276" w:lineRule="auto"/>
        <w:jc w:val="both"/>
      </w:pPr>
      <w:r>
        <w:rPr>
          <w:color w:val="1A1A1A"/>
        </w:rPr>
        <w:t>Traité relatif à l'Harmonisation du Droit des Affaires en Afrique (OHADA), révisé en 2008 ;</w:t>
      </w:r>
    </w:p>
    <w:p w14:paraId="23B147E6" w14:textId="77777777" w:rsidR="00BA06B5" w:rsidRDefault="00931E88" w:rsidP="00033657">
      <w:pPr>
        <w:pStyle w:val="Paragraphedeliste"/>
        <w:numPr>
          <w:ilvl w:val="0"/>
          <w:numId w:val="2"/>
        </w:numPr>
        <w:spacing w:after="120" w:line="276" w:lineRule="auto"/>
        <w:jc w:val="both"/>
      </w:pPr>
      <w:r>
        <w:rPr>
          <w:color w:val="1A1A1A"/>
        </w:rPr>
        <w:t>Acte Uniforme portant Droit Commercial Général (AUDCG) ;</w:t>
      </w:r>
    </w:p>
    <w:p w14:paraId="631FFAF9" w14:textId="77777777" w:rsidR="00BA06B5" w:rsidRDefault="00931E88" w:rsidP="00033657">
      <w:pPr>
        <w:pStyle w:val="Paragraphedeliste"/>
        <w:numPr>
          <w:ilvl w:val="0"/>
          <w:numId w:val="2"/>
        </w:numPr>
        <w:spacing w:after="120" w:line="276" w:lineRule="auto"/>
        <w:jc w:val="both"/>
      </w:pPr>
      <w:r>
        <w:rPr>
          <w:color w:val="1A1A1A"/>
        </w:rPr>
        <w:t>Acte Uniforme relatif au Droit des Sociétés Commerciales et du Groupement d'Intérêt Économique (AUSCGIE) ;</w:t>
      </w:r>
    </w:p>
    <w:p w14:paraId="5CEC1A0B" w14:textId="77777777" w:rsidR="00BA06B5" w:rsidRDefault="00931E88" w:rsidP="00033657">
      <w:pPr>
        <w:pStyle w:val="Paragraphedeliste"/>
        <w:numPr>
          <w:ilvl w:val="0"/>
          <w:numId w:val="2"/>
        </w:numPr>
        <w:spacing w:after="120" w:line="276" w:lineRule="auto"/>
        <w:jc w:val="both"/>
      </w:pPr>
      <w:r>
        <w:rPr>
          <w:color w:val="1A1A1A"/>
        </w:rPr>
        <w:t>Acte Uniforme portant Organisation des Procédures Collectives d'Apurement du Passif (AUPC) ;</w:t>
      </w:r>
    </w:p>
    <w:p w14:paraId="68AFEDF0" w14:textId="77777777" w:rsidR="00BA06B5" w:rsidRDefault="00931E88" w:rsidP="00033657">
      <w:pPr>
        <w:pStyle w:val="Paragraphedeliste"/>
        <w:numPr>
          <w:ilvl w:val="0"/>
          <w:numId w:val="2"/>
        </w:numPr>
        <w:spacing w:after="120" w:line="276" w:lineRule="auto"/>
        <w:jc w:val="both"/>
      </w:pPr>
      <w:r>
        <w:rPr>
          <w:color w:val="1A1A1A"/>
        </w:rPr>
        <w:t>Acte Uniforme portant Organisation des Procédures Simplifiées de Recouvrement et des Voies d'Exécution (AUPSRVE) ;</w:t>
      </w:r>
    </w:p>
    <w:p w14:paraId="23E0E996" w14:textId="70EDB040" w:rsidR="00BA06B5" w:rsidRPr="00033657" w:rsidRDefault="00931E88" w:rsidP="00033657">
      <w:pPr>
        <w:pStyle w:val="Paragraphedeliste"/>
        <w:numPr>
          <w:ilvl w:val="0"/>
          <w:numId w:val="2"/>
        </w:numPr>
        <w:spacing w:after="120" w:line="276" w:lineRule="auto"/>
        <w:jc w:val="both"/>
      </w:pPr>
      <w:r>
        <w:rPr>
          <w:color w:val="1A1A1A"/>
        </w:rPr>
        <w:t>Acte Uniforme relatif au Droit de l'Arbitrage (AUA).</w:t>
      </w:r>
    </w:p>
    <w:p w14:paraId="698F7026" w14:textId="77777777" w:rsidR="00033657" w:rsidRDefault="00033657" w:rsidP="00033657">
      <w:pPr>
        <w:pStyle w:val="Paragraphedeliste"/>
        <w:spacing w:after="120" w:line="276" w:lineRule="auto"/>
        <w:ind w:left="720"/>
        <w:jc w:val="both"/>
      </w:pPr>
    </w:p>
    <w:p w14:paraId="066DDA3D" w14:textId="77777777" w:rsidR="00BA06B5" w:rsidRDefault="00931E88" w:rsidP="00033657">
      <w:pPr>
        <w:pStyle w:val="Titre2"/>
        <w:spacing w:before="0" w:after="120" w:line="276" w:lineRule="auto"/>
        <w:jc w:val="both"/>
      </w:pPr>
      <w:r>
        <w:rPr>
          <w:color w:val="2E75B6"/>
        </w:rPr>
        <w:t>10.3 Références internationales</w:t>
      </w:r>
    </w:p>
    <w:p w14:paraId="3F5A1939" w14:textId="77777777" w:rsidR="00BA06B5" w:rsidRDefault="00931E88" w:rsidP="00033657">
      <w:pPr>
        <w:pStyle w:val="Paragraphedeliste"/>
        <w:numPr>
          <w:ilvl w:val="0"/>
          <w:numId w:val="2"/>
        </w:numPr>
        <w:spacing w:after="120" w:line="276" w:lineRule="auto"/>
        <w:jc w:val="both"/>
      </w:pPr>
      <w:r>
        <w:rPr>
          <w:color w:val="1A1A1A"/>
        </w:rPr>
        <w:t>Indicateurs Doing Business / B-READY de la Banque Mondiale (résolution des litiges commerciaux) ;</w:t>
      </w:r>
    </w:p>
    <w:p w14:paraId="7E8668FC" w14:textId="77777777" w:rsidR="00BA06B5" w:rsidRDefault="00931E88" w:rsidP="00033657">
      <w:pPr>
        <w:pStyle w:val="Paragraphedeliste"/>
        <w:numPr>
          <w:ilvl w:val="0"/>
          <w:numId w:val="2"/>
        </w:numPr>
        <w:spacing w:after="120" w:line="276" w:lineRule="auto"/>
        <w:jc w:val="both"/>
      </w:pPr>
      <w:r>
        <w:rPr>
          <w:color w:val="1A1A1A"/>
        </w:rPr>
        <w:t>Études et rapports de la CCJA sur le fonctionnement des juridictions commerciales dans l'espace OHADA ;</w:t>
      </w:r>
    </w:p>
    <w:p w14:paraId="05767E1E" w14:textId="77777777" w:rsidR="00BA06B5" w:rsidRDefault="00931E88" w:rsidP="00033657">
      <w:pPr>
        <w:pStyle w:val="Paragraphedeliste"/>
        <w:numPr>
          <w:ilvl w:val="0"/>
          <w:numId w:val="2"/>
        </w:numPr>
        <w:spacing w:after="120" w:line="276" w:lineRule="auto"/>
        <w:jc w:val="both"/>
      </w:pPr>
      <w:r>
        <w:rPr>
          <w:color w:val="1A1A1A"/>
        </w:rPr>
        <w:t>Rapports d'évaluation de l'aide au développement judiciaire en Afrique centrale.</w:t>
      </w:r>
    </w:p>
    <w:p w14:paraId="61F41289" w14:textId="6B7802D6" w:rsidR="00033657" w:rsidRDefault="00033657"/>
    <w:p w14:paraId="7611A940" w14:textId="77777777" w:rsidR="00033657" w:rsidRDefault="00033657"/>
    <w:p w14:paraId="53F15B56" w14:textId="1E96F077" w:rsidR="00BA06B5" w:rsidRDefault="00931E88" w:rsidP="00033657">
      <w:pPr>
        <w:pStyle w:val="Titre1"/>
        <w:pBdr>
          <w:bottom w:val="single" w:sz="8" w:space="4" w:color="C9A84C"/>
        </w:pBdr>
        <w:spacing w:before="0" w:line="276" w:lineRule="auto"/>
        <w:jc w:val="both"/>
      </w:pPr>
      <w:r>
        <w:rPr>
          <w:color w:val="1F4E79"/>
        </w:rPr>
        <w:t>XI. MODALITÉS DE SOUMISSION DES OFFRES</w:t>
      </w:r>
    </w:p>
    <w:p w14:paraId="45299C27" w14:textId="1F93D495" w:rsidR="00BA06B5" w:rsidRDefault="00931E88" w:rsidP="00033657">
      <w:pPr>
        <w:spacing w:after="120" w:line="276" w:lineRule="auto"/>
        <w:jc w:val="both"/>
      </w:pPr>
      <w:r>
        <w:rPr>
          <w:color w:val="1A1A1A"/>
        </w:rPr>
        <w:t>Les consultants intéressés sont invités à soumettre un dossier complet comprenant :</w:t>
      </w:r>
    </w:p>
    <w:p w14:paraId="685854DD" w14:textId="77777777" w:rsidR="00BA06B5" w:rsidRDefault="00931E88" w:rsidP="00033657">
      <w:pPr>
        <w:pStyle w:val="Titre2"/>
        <w:spacing w:before="0" w:after="120" w:line="276" w:lineRule="auto"/>
        <w:jc w:val="both"/>
      </w:pPr>
      <w:r>
        <w:rPr>
          <w:color w:val="2E75B6"/>
        </w:rPr>
        <w:t>11.1 Offre technique</w:t>
      </w:r>
    </w:p>
    <w:p w14:paraId="1FBC942E" w14:textId="77777777" w:rsidR="00BA06B5" w:rsidRDefault="00931E88" w:rsidP="00033657">
      <w:pPr>
        <w:pStyle w:val="Paragraphedeliste"/>
        <w:numPr>
          <w:ilvl w:val="0"/>
          <w:numId w:val="2"/>
        </w:numPr>
        <w:spacing w:after="120" w:line="276" w:lineRule="auto"/>
        <w:jc w:val="both"/>
      </w:pPr>
      <w:r>
        <w:rPr>
          <w:color w:val="1A1A1A"/>
        </w:rPr>
        <w:t>Compréhension des termes de référence et de la mission ;</w:t>
      </w:r>
    </w:p>
    <w:p w14:paraId="208D5FC9" w14:textId="77777777" w:rsidR="00BA06B5" w:rsidRDefault="00931E88" w:rsidP="00033657">
      <w:pPr>
        <w:pStyle w:val="Paragraphedeliste"/>
        <w:numPr>
          <w:ilvl w:val="0"/>
          <w:numId w:val="2"/>
        </w:numPr>
        <w:spacing w:after="120" w:line="276" w:lineRule="auto"/>
        <w:jc w:val="both"/>
      </w:pPr>
      <w:r>
        <w:rPr>
          <w:color w:val="1A1A1A"/>
        </w:rPr>
        <w:t>Approche méthodologique détaillée et plan de travail ;</w:t>
      </w:r>
    </w:p>
    <w:p w14:paraId="6AA068E6" w14:textId="77777777" w:rsidR="00BA06B5" w:rsidRDefault="00931E88" w:rsidP="00033657">
      <w:pPr>
        <w:pStyle w:val="Paragraphedeliste"/>
        <w:numPr>
          <w:ilvl w:val="0"/>
          <w:numId w:val="2"/>
        </w:numPr>
        <w:spacing w:after="120" w:line="276" w:lineRule="auto"/>
        <w:jc w:val="both"/>
      </w:pPr>
      <w:r>
        <w:rPr>
          <w:color w:val="1A1A1A"/>
        </w:rPr>
        <w:t>Curriculum vitae actualisé du consultant ou de l'équipe proposée ;</w:t>
      </w:r>
    </w:p>
    <w:p w14:paraId="26E53951" w14:textId="77777777" w:rsidR="00BA06B5" w:rsidRDefault="00931E88" w:rsidP="00033657">
      <w:pPr>
        <w:pStyle w:val="Paragraphedeliste"/>
        <w:numPr>
          <w:ilvl w:val="0"/>
          <w:numId w:val="2"/>
        </w:numPr>
        <w:spacing w:after="120" w:line="276" w:lineRule="auto"/>
        <w:jc w:val="both"/>
      </w:pPr>
      <w:r>
        <w:rPr>
          <w:color w:val="1A1A1A"/>
        </w:rPr>
        <w:t>Liste de missions similaires réalisées (avec références vérifiables) ;</w:t>
      </w:r>
    </w:p>
    <w:p w14:paraId="6FFC4398" w14:textId="53835B61" w:rsidR="00BA06B5" w:rsidRDefault="00931E88" w:rsidP="00033657">
      <w:pPr>
        <w:pStyle w:val="Paragraphedeliste"/>
        <w:numPr>
          <w:ilvl w:val="0"/>
          <w:numId w:val="2"/>
        </w:numPr>
        <w:spacing w:after="120" w:line="276" w:lineRule="auto"/>
        <w:jc w:val="both"/>
      </w:pPr>
      <w:r>
        <w:rPr>
          <w:color w:val="1A1A1A"/>
        </w:rPr>
        <w:t>Échantillons de rapports antérieurs (au moins deux rapports analogues).</w:t>
      </w:r>
    </w:p>
    <w:p w14:paraId="3BBA18F4" w14:textId="77777777" w:rsidR="00BA06B5" w:rsidRDefault="00931E88" w:rsidP="00033657">
      <w:pPr>
        <w:pStyle w:val="Titre2"/>
        <w:spacing w:before="0" w:after="120" w:line="276" w:lineRule="auto"/>
        <w:jc w:val="both"/>
      </w:pPr>
      <w:r>
        <w:rPr>
          <w:color w:val="2E75B6"/>
        </w:rPr>
        <w:t>11.2 Offre financière</w:t>
      </w:r>
    </w:p>
    <w:p w14:paraId="6D5C107F" w14:textId="77777777" w:rsidR="00BA06B5" w:rsidRDefault="00931E88" w:rsidP="00033657">
      <w:pPr>
        <w:pStyle w:val="Paragraphedeliste"/>
        <w:numPr>
          <w:ilvl w:val="0"/>
          <w:numId w:val="2"/>
        </w:numPr>
        <w:spacing w:after="120" w:line="276" w:lineRule="auto"/>
        <w:jc w:val="both"/>
      </w:pPr>
      <w:r>
        <w:rPr>
          <w:color w:val="1A1A1A"/>
        </w:rPr>
        <w:t>Budget détaillé et justifié couvrant les honoraires, frais de déplacement et frais annexes ;</w:t>
      </w:r>
    </w:p>
    <w:p w14:paraId="7FF1B964" w14:textId="77777777" w:rsidR="00BA06B5" w:rsidRDefault="00931E88" w:rsidP="00033657">
      <w:pPr>
        <w:pStyle w:val="Paragraphedeliste"/>
        <w:numPr>
          <w:ilvl w:val="0"/>
          <w:numId w:val="2"/>
        </w:numPr>
        <w:spacing w:after="120" w:line="276" w:lineRule="auto"/>
        <w:jc w:val="both"/>
      </w:pPr>
      <w:r>
        <w:rPr>
          <w:color w:val="1A1A1A"/>
        </w:rPr>
        <w:t>Calendrier de paiement proposé lié aux livrables.</w:t>
      </w:r>
    </w:p>
    <w:p w14:paraId="776228D6" w14:textId="77777777" w:rsidR="00BA06B5" w:rsidRDefault="00BA06B5"/>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560"/>
      </w:tblGrid>
      <w:tr w:rsidR="00BA06B5" w14:paraId="04976580" w14:textId="77777777">
        <w:tc>
          <w:tcPr>
            <w:tcW w:w="2800" w:type="dxa"/>
            <w:tcBorders>
              <w:top w:val="single" w:sz="1" w:space="0" w:color="CCCCCC"/>
              <w:left w:val="single" w:sz="1" w:space="0" w:color="CCCCCC"/>
              <w:bottom w:val="single" w:sz="1" w:space="0" w:color="CCCCCC"/>
              <w:right w:val="single" w:sz="1" w:space="0" w:color="CCCCCC"/>
            </w:tcBorders>
            <w:shd w:val="clear" w:color="auto" w:fill="D6E4F0"/>
            <w:tcMar>
              <w:top w:w="100" w:type="dxa"/>
              <w:left w:w="150" w:type="dxa"/>
              <w:bottom w:w="100" w:type="dxa"/>
              <w:right w:w="150" w:type="dxa"/>
            </w:tcMar>
          </w:tcPr>
          <w:p w14:paraId="0BC58F29" w14:textId="77777777" w:rsidR="00BA06B5" w:rsidRDefault="00931E88">
            <w:r>
              <w:rPr>
                <w:b/>
                <w:bCs/>
                <w:color w:val="1F4E79"/>
                <w:sz w:val="20"/>
                <w:szCs w:val="20"/>
              </w:rPr>
              <w:t>Date limite de dépôt</w:t>
            </w:r>
          </w:p>
        </w:tc>
        <w:tc>
          <w:tcPr>
            <w:tcW w:w="6560" w:type="dxa"/>
            <w:tcBorders>
              <w:top w:val="single" w:sz="1" w:space="0" w:color="CCCCCC"/>
              <w:left w:val="single" w:sz="1" w:space="0" w:color="CCCCCC"/>
              <w:bottom w:val="single" w:sz="1" w:space="0" w:color="CCCCCC"/>
              <w:right w:val="single" w:sz="1" w:space="0" w:color="CCCCCC"/>
            </w:tcBorders>
            <w:tcMar>
              <w:top w:w="100" w:type="dxa"/>
              <w:left w:w="150" w:type="dxa"/>
              <w:bottom w:w="100" w:type="dxa"/>
              <w:right w:w="150" w:type="dxa"/>
            </w:tcMar>
          </w:tcPr>
          <w:p w14:paraId="3511BD49" w14:textId="46A1A794" w:rsidR="00BA06B5" w:rsidRPr="00033657" w:rsidRDefault="00931E88">
            <w:r>
              <w:rPr>
                <w:color w:val="1A1A1A"/>
                <w:sz w:val="20"/>
                <w:szCs w:val="20"/>
              </w:rPr>
              <w:t xml:space="preserve">À préciser par le Ministère </w:t>
            </w:r>
            <w:r w:rsidR="00033657">
              <w:rPr>
                <w:color w:val="1A1A1A"/>
                <w:sz w:val="20"/>
                <w:szCs w:val="20"/>
              </w:rPr>
              <w:t>du Commerce et de l’Industrie</w:t>
            </w:r>
          </w:p>
        </w:tc>
      </w:tr>
      <w:tr w:rsidR="00BA06B5" w14:paraId="41F066E3" w14:textId="77777777">
        <w:tc>
          <w:tcPr>
            <w:tcW w:w="2800" w:type="dxa"/>
            <w:tcBorders>
              <w:top w:val="single" w:sz="1" w:space="0" w:color="CCCCCC"/>
              <w:left w:val="single" w:sz="1" w:space="0" w:color="CCCCCC"/>
              <w:bottom w:val="single" w:sz="1" w:space="0" w:color="CCCCCC"/>
              <w:right w:val="single" w:sz="1" w:space="0" w:color="CCCCCC"/>
            </w:tcBorders>
            <w:shd w:val="clear" w:color="auto" w:fill="D6E4F0"/>
            <w:tcMar>
              <w:top w:w="100" w:type="dxa"/>
              <w:left w:w="150" w:type="dxa"/>
              <w:bottom w:w="100" w:type="dxa"/>
              <w:right w:w="150" w:type="dxa"/>
            </w:tcMar>
          </w:tcPr>
          <w:p w14:paraId="3F1D9A05" w14:textId="77777777" w:rsidR="00BA06B5" w:rsidRDefault="00931E88">
            <w:r>
              <w:rPr>
                <w:b/>
                <w:bCs/>
                <w:color w:val="1F4E79"/>
                <w:sz w:val="20"/>
                <w:szCs w:val="20"/>
              </w:rPr>
              <w:t>Adresse de dépôt</w:t>
            </w:r>
          </w:p>
        </w:tc>
        <w:tc>
          <w:tcPr>
            <w:tcW w:w="6560" w:type="dxa"/>
            <w:tcBorders>
              <w:top w:val="single" w:sz="1" w:space="0" w:color="CCCCCC"/>
              <w:left w:val="single" w:sz="1" w:space="0" w:color="CCCCCC"/>
              <w:bottom w:val="single" w:sz="1" w:space="0" w:color="CCCCCC"/>
              <w:right w:val="single" w:sz="1" w:space="0" w:color="CCCCCC"/>
            </w:tcBorders>
            <w:tcMar>
              <w:top w:w="100" w:type="dxa"/>
              <w:left w:w="150" w:type="dxa"/>
              <w:bottom w:w="100" w:type="dxa"/>
              <w:right w:w="150" w:type="dxa"/>
            </w:tcMar>
          </w:tcPr>
          <w:p w14:paraId="6DAA8655" w14:textId="21BCB456" w:rsidR="00BA06B5" w:rsidRDefault="00033657">
            <w:r>
              <w:rPr>
                <w:color w:val="1A1A1A"/>
                <w:sz w:val="20"/>
                <w:szCs w:val="20"/>
              </w:rPr>
              <w:t>Ministère du Commerce et de l’Industrie</w:t>
            </w:r>
            <w:r w:rsidR="00931E88">
              <w:rPr>
                <w:color w:val="1A1A1A"/>
                <w:sz w:val="20"/>
                <w:szCs w:val="20"/>
              </w:rPr>
              <w:t xml:space="preserve"> – N'Djaména</w:t>
            </w:r>
          </w:p>
        </w:tc>
      </w:tr>
      <w:tr w:rsidR="00BA06B5" w14:paraId="676B998B" w14:textId="77777777">
        <w:tc>
          <w:tcPr>
            <w:tcW w:w="2800" w:type="dxa"/>
            <w:tcBorders>
              <w:top w:val="single" w:sz="1" w:space="0" w:color="CCCCCC"/>
              <w:left w:val="single" w:sz="1" w:space="0" w:color="CCCCCC"/>
              <w:bottom w:val="single" w:sz="1" w:space="0" w:color="CCCCCC"/>
              <w:right w:val="single" w:sz="1" w:space="0" w:color="CCCCCC"/>
            </w:tcBorders>
            <w:shd w:val="clear" w:color="auto" w:fill="D6E4F0"/>
            <w:tcMar>
              <w:top w:w="100" w:type="dxa"/>
              <w:left w:w="150" w:type="dxa"/>
              <w:bottom w:w="100" w:type="dxa"/>
              <w:right w:w="150" w:type="dxa"/>
            </w:tcMar>
          </w:tcPr>
          <w:p w14:paraId="3EA7DD9E" w14:textId="77777777" w:rsidR="00BA06B5" w:rsidRDefault="00931E88">
            <w:r>
              <w:rPr>
                <w:b/>
                <w:bCs/>
                <w:color w:val="1F4E79"/>
                <w:sz w:val="20"/>
                <w:szCs w:val="20"/>
              </w:rPr>
              <w:t>Langue des offres</w:t>
            </w:r>
          </w:p>
        </w:tc>
        <w:tc>
          <w:tcPr>
            <w:tcW w:w="6560" w:type="dxa"/>
            <w:tcBorders>
              <w:top w:val="single" w:sz="1" w:space="0" w:color="CCCCCC"/>
              <w:left w:val="single" w:sz="1" w:space="0" w:color="CCCCCC"/>
              <w:bottom w:val="single" w:sz="1" w:space="0" w:color="CCCCCC"/>
              <w:right w:val="single" w:sz="1" w:space="0" w:color="CCCCCC"/>
            </w:tcBorders>
            <w:tcMar>
              <w:top w:w="100" w:type="dxa"/>
              <w:left w:w="150" w:type="dxa"/>
              <w:bottom w:w="100" w:type="dxa"/>
              <w:right w:w="150" w:type="dxa"/>
            </w:tcMar>
          </w:tcPr>
          <w:p w14:paraId="48EDD75B" w14:textId="77777777" w:rsidR="00BA06B5" w:rsidRDefault="00931E88">
            <w:r>
              <w:rPr>
                <w:color w:val="1A1A1A"/>
                <w:sz w:val="20"/>
                <w:szCs w:val="20"/>
              </w:rPr>
              <w:t>Français</w:t>
            </w:r>
          </w:p>
        </w:tc>
      </w:tr>
      <w:tr w:rsidR="00BA06B5" w14:paraId="2D13C78E" w14:textId="77777777">
        <w:tc>
          <w:tcPr>
            <w:tcW w:w="2800" w:type="dxa"/>
            <w:tcBorders>
              <w:top w:val="single" w:sz="1" w:space="0" w:color="CCCCCC"/>
              <w:left w:val="single" w:sz="1" w:space="0" w:color="CCCCCC"/>
              <w:bottom w:val="single" w:sz="1" w:space="0" w:color="CCCCCC"/>
              <w:right w:val="single" w:sz="1" w:space="0" w:color="CCCCCC"/>
            </w:tcBorders>
            <w:shd w:val="clear" w:color="auto" w:fill="D6E4F0"/>
            <w:tcMar>
              <w:top w:w="100" w:type="dxa"/>
              <w:left w:w="150" w:type="dxa"/>
              <w:bottom w:w="100" w:type="dxa"/>
              <w:right w:w="150" w:type="dxa"/>
            </w:tcMar>
          </w:tcPr>
          <w:p w14:paraId="25EE6162" w14:textId="77777777" w:rsidR="00BA06B5" w:rsidRDefault="00931E88">
            <w:r>
              <w:rPr>
                <w:b/>
                <w:bCs/>
                <w:color w:val="1F4E79"/>
                <w:sz w:val="20"/>
                <w:szCs w:val="20"/>
              </w:rPr>
              <w:lastRenderedPageBreak/>
              <w:t>Critères de sélection</w:t>
            </w:r>
          </w:p>
        </w:tc>
        <w:tc>
          <w:tcPr>
            <w:tcW w:w="6560" w:type="dxa"/>
            <w:tcBorders>
              <w:top w:val="single" w:sz="1" w:space="0" w:color="CCCCCC"/>
              <w:left w:val="single" w:sz="1" w:space="0" w:color="CCCCCC"/>
              <w:bottom w:val="single" w:sz="1" w:space="0" w:color="CCCCCC"/>
              <w:right w:val="single" w:sz="1" w:space="0" w:color="CCCCCC"/>
            </w:tcBorders>
            <w:tcMar>
              <w:top w:w="100" w:type="dxa"/>
              <w:left w:w="150" w:type="dxa"/>
              <w:bottom w:w="100" w:type="dxa"/>
              <w:right w:w="150" w:type="dxa"/>
            </w:tcMar>
          </w:tcPr>
          <w:p w14:paraId="451AB80E" w14:textId="77777777" w:rsidR="00BA06B5" w:rsidRDefault="00931E88">
            <w:r>
              <w:rPr>
                <w:color w:val="1A1A1A"/>
                <w:sz w:val="20"/>
                <w:szCs w:val="20"/>
              </w:rPr>
              <w:t>Qualité technique (70%) – Offre financière (30%)</w:t>
            </w:r>
          </w:p>
        </w:tc>
      </w:tr>
    </w:tbl>
    <w:p w14:paraId="6ADB5D96" w14:textId="77777777" w:rsidR="00BA06B5" w:rsidRDefault="00BA06B5"/>
    <w:p w14:paraId="7CA23CDF" w14:textId="77777777" w:rsidR="00BA06B5" w:rsidRDefault="00931E88">
      <w:pPr>
        <w:pBdr>
          <w:top w:val="single" w:sz="4" w:space="4" w:color="C9A84C"/>
        </w:pBdr>
        <w:spacing w:before="120" w:after="80"/>
        <w:jc w:val="center"/>
      </w:pPr>
      <w:r>
        <w:rPr>
          <w:i/>
          <w:iCs/>
          <w:color w:val="2E75B6"/>
          <w:sz w:val="20"/>
          <w:szCs w:val="20"/>
        </w:rPr>
        <w:t>Pour toute information complémentaire, contacter la Direction des Affaires Judiciaires</w:t>
      </w:r>
    </w:p>
    <w:p w14:paraId="7706411A" w14:textId="77777777" w:rsidR="00BA06B5" w:rsidRDefault="00931E88">
      <w:pPr>
        <w:spacing w:after="80"/>
        <w:jc w:val="center"/>
      </w:pPr>
      <w:r>
        <w:rPr>
          <w:b/>
          <w:bCs/>
          <w:color w:val="1F4E79"/>
          <w:sz w:val="20"/>
          <w:szCs w:val="20"/>
        </w:rPr>
        <w:t>Ministère de la Justice et des Droits Humains – République du Tchad</w:t>
      </w:r>
    </w:p>
    <w:sectPr w:rsidR="00BA06B5">
      <w:headerReference w:type="default" r:id="rId7"/>
      <w:footerReference w:type="default" r:id="rId8"/>
      <w:pgSz w:w="11906" w:h="16838"/>
      <w:pgMar w:top="1440" w:right="1440" w:bottom="1440" w:left="18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5B477" w14:textId="77777777" w:rsidR="006966F5" w:rsidRDefault="006966F5">
      <w:r>
        <w:separator/>
      </w:r>
    </w:p>
  </w:endnote>
  <w:endnote w:type="continuationSeparator" w:id="0">
    <w:p w14:paraId="389EDC19" w14:textId="77777777" w:rsidR="006966F5" w:rsidRDefault="00696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6A4D1" w14:textId="37F27A85" w:rsidR="00BA06B5" w:rsidRDefault="00931E88">
    <w:pPr>
      <w:pBdr>
        <w:top w:val="single" w:sz="4" w:space="4" w:color="C9A84C"/>
      </w:pBdr>
      <w:tabs>
        <w:tab w:val="right" w:pos="9026"/>
      </w:tabs>
      <w:spacing w:before="80"/>
    </w:pPr>
    <w:r>
      <w:rPr>
        <w:color w:val="666666"/>
        <w:sz w:val="16"/>
        <w:szCs w:val="16"/>
      </w:rPr>
      <w:t>Ministère d</w:t>
    </w:r>
    <w:r w:rsidR="00280B1C">
      <w:rPr>
        <w:color w:val="666666"/>
        <w:sz w:val="16"/>
        <w:szCs w:val="16"/>
      </w:rPr>
      <w:t xml:space="preserve">u Commerce et de l’Industrie </w:t>
    </w:r>
    <w:r>
      <w:rPr>
        <w:color w:val="666666"/>
        <w:sz w:val="16"/>
        <w:szCs w:val="16"/>
      </w:rPr>
      <w:t>– République du Tchad</w:t>
    </w:r>
    <w:r>
      <w:rPr>
        <w:color w:val="666666"/>
        <w:sz w:val="16"/>
        <w:szCs w:val="16"/>
      </w:rPr>
      <w:tab/>
      <w:t xml:space="preserve">Page </w:t>
    </w:r>
    <w:r>
      <w:rPr>
        <w:color w:val="666666"/>
        <w:sz w:val="16"/>
        <w:szCs w:val="16"/>
      </w:rPr>
      <w:fldChar w:fldCharType="begin"/>
    </w:r>
    <w:r>
      <w:rPr>
        <w:color w:val="666666"/>
        <w:sz w:val="16"/>
        <w:szCs w:val="16"/>
      </w:rPr>
      <w:instrText>PAGE</w:instrText>
    </w:r>
    <w:r>
      <w:rPr>
        <w:color w:val="666666"/>
        <w:sz w:val="16"/>
        <w:szCs w:val="16"/>
      </w:rPr>
      <w:fldChar w:fldCharType="separate"/>
    </w:r>
    <w:r w:rsidR="00280B1C">
      <w:rPr>
        <w:noProof/>
        <w:color w:val="666666"/>
        <w:sz w:val="16"/>
        <w:szCs w:val="16"/>
      </w:rPr>
      <w:t>1</w:t>
    </w:r>
    <w:r>
      <w:rPr>
        <w:color w:val="66666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9149D" w14:textId="77777777" w:rsidR="006966F5" w:rsidRDefault="006966F5">
      <w:r>
        <w:separator/>
      </w:r>
    </w:p>
  </w:footnote>
  <w:footnote w:type="continuationSeparator" w:id="0">
    <w:p w14:paraId="2C33FD25" w14:textId="77777777" w:rsidR="006966F5" w:rsidRDefault="006966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E0E12" w14:textId="77777777" w:rsidR="00BA06B5" w:rsidRDefault="00931E88">
    <w:pPr>
      <w:pBdr>
        <w:bottom w:val="single" w:sz="4" w:space="4" w:color="2E75B6"/>
      </w:pBdr>
      <w:spacing w:after="100"/>
    </w:pPr>
    <w:r>
      <w:rPr>
        <w:color w:val="2E75B6"/>
        <w:sz w:val="16"/>
        <w:szCs w:val="16"/>
      </w:rPr>
      <w:t>TERMES DE RÉFÉRENCE – Diagnostic des Tribunaux de Commerce – République du Tchad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75310"/>
    <w:multiLevelType w:val="multilevel"/>
    <w:tmpl w:val="C83C4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5D2034"/>
    <w:multiLevelType w:val="hybridMultilevel"/>
    <w:tmpl w:val="275E89EA"/>
    <w:lvl w:ilvl="0" w:tplc="8070D2A4">
      <w:start w:val="1"/>
      <w:numFmt w:val="bullet"/>
      <w:lvlText w:val="–"/>
      <w:lvlJc w:val="left"/>
      <w:pPr>
        <w:ind w:left="1080" w:hanging="360"/>
      </w:pPr>
    </w:lvl>
    <w:lvl w:ilvl="1" w:tplc="9C54ACDE">
      <w:numFmt w:val="decimal"/>
      <w:lvlText w:val=""/>
      <w:lvlJc w:val="left"/>
    </w:lvl>
    <w:lvl w:ilvl="2" w:tplc="3DF8B3B2">
      <w:numFmt w:val="decimal"/>
      <w:lvlText w:val=""/>
      <w:lvlJc w:val="left"/>
    </w:lvl>
    <w:lvl w:ilvl="3" w:tplc="3ECC9DA4">
      <w:numFmt w:val="decimal"/>
      <w:lvlText w:val=""/>
      <w:lvlJc w:val="left"/>
    </w:lvl>
    <w:lvl w:ilvl="4" w:tplc="434C0E40">
      <w:numFmt w:val="decimal"/>
      <w:lvlText w:val=""/>
      <w:lvlJc w:val="left"/>
    </w:lvl>
    <w:lvl w:ilvl="5" w:tplc="24A06362">
      <w:numFmt w:val="decimal"/>
      <w:lvlText w:val=""/>
      <w:lvlJc w:val="left"/>
    </w:lvl>
    <w:lvl w:ilvl="6" w:tplc="30CA0E28">
      <w:numFmt w:val="decimal"/>
      <w:lvlText w:val=""/>
      <w:lvlJc w:val="left"/>
    </w:lvl>
    <w:lvl w:ilvl="7" w:tplc="7660E342">
      <w:numFmt w:val="decimal"/>
      <w:lvlText w:val=""/>
      <w:lvlJc w:val="left"/>
    </w:lvl>
    <w:lvl w:ilvl="8" w:tplc="13D08BEC">
      <w:numFmt w:val="decimal"/>
      <w:lvlText w:val=""/>
      <w:lvlJc w:val="left"/>
    </w:lvl>
  </w:abstractNum>
  <w:abstractNum w:abstractNumId="2" w15:restartNumberingAfterBreak="0">
    <w:nsid w:val="3EE2300D"/>
    <w:multiLevelType w:val="multilevel"/>
    <w:tmpl w:val="3670B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FE0386E"/>
    <w:multiLevelType w:val="hybridMultilevel"/>
    <w:tmpl w:val="412A39F6"/>
    <w:lvl w:ilvl="0" w:tplc="EDC6613A">
      <w:start w:val="1"/>
      <w:numFmt w:val="decimal"/>
      <w:lvlText w:val="%1."/>
      <w:lvlJc w:val="left"/>
      <w:pPr>
        <w:ind w:left="720" w:hanging="360"/>
      </w:pPr>
    </w:lvl>
    <w:lvl w:ilvl="1" w:tplc="62689CFE">
      <w:numFmt w:val="decimal"/>
      <w:lvlText w:val=""/>
      <w:lvlJc w:val="left"/>
    </w:lvl>
    <w:lvl w:ilvl="2" w:tplc="3328D736">
      <w:numFmt w:val="decimal"/>
      <w:lvlText w:val=""/>
      <w:lvlJc w:val="left"/>
    </w:lvl>
    <w:lvl w:ilvl="3" w:tplc="DECCD354">
      <w:numFmt w:val="decimal"/>
      <w:lvlText w:val=""/>
      <w:lvlJc w:val="left"/>
    </w:lvl>
    <w:lvl w:ilvl="4" w:tplc="B84A85B6">
      <w:numFmt w:val="decimal"/>
      <w:lvlText w:val=""/>
      <w:lvlJc w:val="left"/>
    </w:lvl>
    <w:lvl w:ilvl="5" w:tplc="285CCBC2">
      <w:numFmt w:val="decimal"/>
      <w:lvlText w:val=""/>
      <w:lvlJc w:val="left"/>
    </w:lvl>
    <w:lvl w:ilvl="6" w:tplc="83967604">
      <w:numFmt w:val="decimal"/>
      <w:lvlText w:val=""/>
      <w:lvlJc w:val="left"/>
    </w:lvl>
    <w:lvl w:ilvl="7" w:tplc="DB304AB4">
      <w:numFmt w:val="decimal"/>
      <w:lvlText w:val=""/>
      <w:lvlJc w:val="left"/>
    </w:lvl>
    <w:lvl w:ilvl="8" w:tplc="45BA4692">
      <w:numFmt w:val="decimal"/>
      <w:lvlText w:val=""/>
      <w:lvlJc w:val="left"/>
    </w:lvl>
  </w:abstractNum>
  <w:abstractNum w:abstractNumId="4" w15:restartNumberingAfterBreak="0">
    <w:nsid w:val="5A9C4911"/>
    <w:multiLevelType w:val="hybridMultilevel"/>
    <w:tmpl w:val="A814B872"/>
    <w:lvl w:ilvl="0" w:tplc="66A09FE0">
      <w:start w:val="1"/>
      <w:numFmt w:val="bullet"/>
      <w:lvlText w:val="•"/>
      <w:lvlJc w:val="left"/>
      <w:pPr>
        <w:ind w:left="720" w:hanging="360"/>
      </w:pPr>
    </w:lvl>
    <w:lvl w:ilvl="1" w:tplc="E9B447F6">
      <w:numFmt w:val="decimal"/>
      <w:lvlText w:val=""/>
      <w:lvlJc w:val="left"/>
    </w:lvl>
    <w:lvl w:ilvl="2" w:tplc="16BC6AE0">
      <w:numFmt w:val="decimal"/>
      <w:lvlText w:val=""/>
      <w:lvlJc w:val="left"/>
    </w:lvl>
    <w:lvl w:ilvl="3" w:tplc="AA0C119E">
      <w:numFmt w:val="decimal"/>
      <w:lvlText w:val=""/>
      <w:lvlJc w:val="left"/>
    </w:lvl>
    <w:lvl w:ilvl="4" w:tplc="181AF13C">
      <w:numFmt w:val="decimal"/>
      <w:lvlText w:val=""/>
      <w:lvlJc w:val="left"/>
    </w:lvl>
    <w:lvl w:ilvl="5" w:tplc="37ECCA86">
      <w:numFmt w:val="decimal"/>
      <w:lvlText w:val=""/>
      <w:lvlJc w:val="left"/>
    </w:lvl>
    <w:lvl w:ilvl="6" w:tplc="1E74B40E">
      <w:numFmt w:val="decimal"/>
      <w:lvlText w:val=""/>
      <w:lvlJc w:val="left"/>
    </w:lvl>
    <w:lvl w:ilvl="7" w:tplc="03645528">
      <w:numFmt w:val="decimal"/>
      <w:lvlText w:val=""/>
      <w:lvlJc w:val="left"/>
    </w:lvl>
    <w:lvl w:ilvl="8" w:tplc="5B24FD0C">
      <w:numFmt w:val="decimal"/>
      <w:lvlText w:val=""/>
      <w:lvlJc w:val="left"/>
    </w:lvl>
  </w:abstractNum>
  <w:abstractNum w:abstractNumId="5" w15:restartNumberingAfterBreak="0">
    <w:nsid w:val="79E76A2F"/>
    <w:multiLevelType w:val="hybridMultilevel"/>
    <w:tmpl w:val="966E6518"/>
    <w:lvl w:ilvl="0" w:tplc="BD7EFDCC">
      <w:start w:val="1"/>
      <w:numFmt w:val="bullet"/>
      <w:lvlText w:val="●"/>
      <w:lvlJc w:val="left"/>
      <w:pPr>
        <w:ind w:left="720" w:hanging="360"/>
      </w:pPr>
    </w:lvl>
    <w:lvl w:ilvl="1" w:tplc="4982963E">
      <w:start w:val="1"/>
      <w:numFmt w:val="bullet"/>
      <w:lvlText w:val="○"/>
      <w:lvlJc w:val="left"/>
      <w:pPr>
        <w:ind w:left="1440" w:hanging="360"/>
      </w:pPr>
    </w:lvl>
    <w:lvl w:ilvl="2" w:tplc="6A3C0DF0">
      <w:start w:val="1"/>
      <w:numFmt w:val="bullet"/>
      <w:lvlText w:val="■"/>
      <w:lvlJc w:val="left"/>
      <w:pPr>
        <w:ind w:left="2160" w:hanging="360"/>
      </w:pPr>
    </w:lvl>
    <w:lvl w:ilvl="3" w:tplc="04D0F706">
      <w:start w:val="1"/>
      <w:numFmt w:val="bullet"/>
      <w:lvlText w:val="●"/>
      <w:lvlJc w:val="left"/>
      <w:pPr>
        <w:ind w:left="2880" w:hanging="360"/>
      </w:pPr>
    </w:lvl>
    <w:lvl w:ilvl="4" w:tplc="5F5839C6">
      <w:start w:val="1"/>
      <w:numFmt w:val="bullet"/>
      <w:lvlText w:val="○"/>
      <w:lvlJc w:val="left"/>
      <w:pPr>
        <w:ind w:left="3600" w:hanging="360"/>
      </w:pPr>
    </w:lvl>
    <w:lvl w:ilvl="5" w:tplc="E9BC51DE">
      <w:start w:val="1"/>
      <w:numFmt w:val="bullet"/>
      <w:lvlText w:val="■"/>
      <w:lvlJc w:val="left"/>
      <w:pPr>
        <w:ind w:left="4320" w:hanging="360"/>
      </w:pPr>
    </w:lvl>
    <w:lvl w:ilvl="6" w:tplc="2ECEE40C">
      <w:start w:val="1"/>
      <w:numFmt w:val="bullet"/>
      <w:lvlText w:val="●"/>
      <w:lvlJc w:val="left"/>
      <w:pPr>
        <w:ind w:left="5040" w:hanging="360"/>
      </w:pPr>
    </w:lvl>
    <w:lvl w:ilvl="7" w:tplc="2C6CAA9A">
      <w:start w:val="1"/>
      <w:numFmt w:val="bullet"/>
      <w:lvlText w:val="●"/>
      <w:lvlJc w:val="left"/>
      <w:pPr>
        <w:ind w:left="5760" w:hanging="360"/>
      </w:pPr>
    </w:lvl>
    <w:lvl w:ilvl="8" w:tplc="85E883F4">
      <w:start w:val="1"/>
      <w:numFmt w:val="bullet"/>
      <w:lvlText w:val="●"/>
      <w:lvlJc w:val="left"/>
      <w:pPr>
        <w:ind w:left="6480" w:hanging="360"/>
      </w:pPr>
    </w:lvl>
  </w:abstractNum>
  <w:num w:numId="1" w16cid:durableId="1534877044">
    <w:abstractNumId w:val="5"/>
    <w:lvlOverride w:ilvl="0">
      <w:startOverride w:val="1"/>
    </w:lvlOverride>
  </w:num>
  <w:num w:numId="2" w16cid:durableId="910047293">
    <w:abstractNumId w:val="4"/>
    <w:lvlOverride w:ilvl="0">
      <w:startOverride w:val="1"/>
    </w:lvlOverride>
  </w:num>
  <w:num w:numId="3" w16cid:durableId="489949090">
    <w:abstractNumId w:val="3"/>
    <w:lvlOverride w:ilvl="0">
      <w:startOverride w:val="1"/>
    </w:lvlOverride>
  </w:num>
  <w:num w:numId="4" w16cid:durableId="861012539">
    <w:abstractNumId w:val="2"/>
  </w:num>
  <w:num w:numId="5" w16cid:durableId="1817531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6B5"/>
    <w:rsid w:val="00017FF6"/>
    <w:rsid w:val="00033657"/>
    <w:rsid w:val="000C56CE"/>
    <w:rsid w:val="0011439E"/>
    <w:rsid w:val="001F17EC"/>
    <w:rsid w:val="00280B1C"/>
    <w:rsid w:val="002C3C65"/>
    <w:rsid w:val="00367A2B"/>
    <w:rsid w:val="00384B4E"/>
    <w:rsid w:val="003C65B1"/>
    <w:rsid w:val="004F1B4F"/>
    <w:rsid w:val="006966F5"/>
    <w:rsid w:val="006F6E6A"/>
    <w:rsid w:val="00931E88"/>
    <w:rsid w:val="00BA06B5"/>
    <w:rsid w:val="00CC7273"/>
    <w:rsid w:val="00DC6EC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FAF97"/>
  <w15:docId w15:val="{9B13B352-A31A-485E-B8C1-D64FF5D0C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spacing w:before="360" w:after="120"/>
      <w:outlineLvl w:val="0"/>
    </w:pPr>
    <w:rPr>
      <w:b/>
      <w:bCs/>
      <w:sz w:val="28"/>
      <w:szCs w:val="28"/>
    </w:rPr>
  </w:style>
  <w:style w:type="paragraph" w:styleId="Titre2">
    <w:name w:val="heading 2"/>
    <w:uiPriority w:val="9"/>
    <w:unhideWhenUsed/>
    <w:qFormat/>
    <w:pPr>
      <w:spacing w:before="240" w:after="100"/>
      <w:outlineLvl w:val="1"/>
    </w:pPr>
    <w:rPr>
      <w:b/>
      <w:bCs/>
      <w:sz w:val="24"/>
      <w:szCs w:val="24"/>
    </w:rPr>
  </w:style>
  <w:style w:type="paragraph" w:styleId="Titre3">
    <w:name w:val="heading 3"/>
    <w:uiPriority w:val="9"/>
    <w:semiHidden/>
    <w:unhideWhenUsed/>
    <w:qFormat/>
    <w:pPr>
      <w:spacing w:before="180" w:after="80"/>
      <w:outlineLvl w:val="2"/>
    </w:pPr>
    <w:rPr>
      <w:b/>
      <w:bCs/>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paragraph" w:styleId="En-tte">
    <w:name w:val="header"/>
    <w:basedOn w:val="Normal"/>
    <w:link w:val="En-tteCar"/>
    <w:uiPriority w:val="99"/>
    <w:unhideWhenUsed/>
    <w:rsid w:val="00280B1C"/>
    <w:pPr>
      <w:tabs>
        <w:tab w:val="center" w:pos="4513"/>
        <w:tab w:val="right" w:pos="9026"/>
      </w:tabs>
    </w:pPr>
  </w:style>
  <w:style w:type="character" w:customStyle="1" w:styleId="En-tteCar">
    <w:name w:val="En-tête Car"/>
    <w:basedOn w:val="Policepardfaut"/>
    <w:link w:val="En-tte"/>
    <w:uiPriority w:val="99"/>
    <w:rsid w:val="00280B1C"/>
  </w:style>
  <w:style w:type="paragraph" w:styleId="Pieddepage">
    <w:name w:val="footer"/>
    <w:basedOn w:val="Normal"/>
    <w:link w:val="PieddepageCar"/>
    <w:uiPriority w:val="99"/>
    <w:unhideWhenUsed/>
    <w:rsid w:val="00280B1C"/>
    <w:pPr>
      <w:tabs>
        <w:tab w:val="center" w:pos="4513"/>
        <w:tab w:val="right" w:pos="9026"/>
      </w:tabs>
    </w:pPr>
  </w:style>
  <w:style w:type="character" w:customStyle="1" w:styleId="PieddepageCar">
    <w:name w:val="Pied de page Car"/>
    <w:basedOn w:val="Policepardfaut"/>
    <w:link w:val="Pieddepage"/>
    <w:uiPriority w:val="99"/>
    <w:rsid w:val="00280B1C"/>
  </w:style>
  <w:style w:type="paragraph" w:styleId="NormalWeb">
    <w:name w:val="Normal (Web)"/>
    <w:basedOn w:val="Normal"/>
    <w:uiPriority w:val="99"/>
    <w:semiHidden/>
    <w:unhideWhenUsed/>
    <w:rsid w:val="00DC6EC4"/>
    <w:rPr>
      <w:rFonts w:ascii="Times New Roman" w:hAnsi="Times New Roman" w:cs="Times New Roman"/>
      <w:sz w:val="24"/>
      <w:szCs w:val="24"/>
    </w:rPr>
  </w:style>
  <w:style w:type="character" w:styleId="lev">
    <w:name w:val="Strong"/>
    <w:basedOn w:val="Policepardfaut"/>
    <w:uiPriority w:val="22"/>
    <w:qFormat/>
    <w:rsid w:val="003C65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024983">
      <w:bodyDiv w:val="1"/>
      <w:marLeft w:val="0"/>
      <w:marRight w:val="0"/>
      <w:marTop w:val="0"/>
      <w:marBottom w:val="0"/>
      <w:divBdr>
        <w:top w:val="none" w:sz="0" w:space="0" w:color="auto"/>
        <w:left w:val="none" w:sz="0" w:space="0" w:color="auto"/>
        <w:bottom w:val="none" w:sz="0" w:space="0" w:color="auto"/>
        <w:right w:val="none" w:sz="0" w:space="0" w:color="auto"/>
      </w:divBdr>
    </w:div>
    <w:div w:id="491338742">
      <w:bodyDiv w:val="1"/>
      <w:marLeft w:val="0"/>
      <w:marRight w:val="0"/>
      <w:marTop w:val="0"/>
      <w:marBottom w:val="0"/>
      <w:divBdr>
        <w:top w:val="none" w:sz="0" w:space="0" w:color="auto"/>
        <w:left w:val="none" w:sz="0" w:space="0" w:color="auto"/>
        <w:bottom w:val="none" w:sz="0" w:space="0" w:color="auto"/>
        <w:right w:val="none" w:sz="0" w:space="0" w:color="auto"/>
      </w:divBdr>
    </w:div>
    <w:div w:id="655840268">
      <w:bodyDiv w:val="1"/>
      <w:marLeft w:val="0"/>
      <w:marRight w:val="0"/>
      <w:marTop w:val="0"/>
      <w:marBottom w:val="0"/>
      <w:divBdr>
        <w:top w:val="none" w:sz="0" w:space="0" w:color="auto"/>
        <w:left w:val="none" w:sz="0" w:space="0" w:color="auto"/>
        <w:bottom w:val="none" w:sz="0" w:space="0" w:color="auto"/>
        <w:right w:val="none" w:sz="0" w:space="0" w:color="auto"/>
      </w:divBdr>
    </w:div>
    <w:div w:id="731194386">
      <w:bodyDiv w:val="1"/>
      <w:marLeft w:val="0"/>
      <w:marRight w:val="0"/>
      <w:marTop w:val="0"/>
      <w:marBottom w:val="0"/>
      <w:divBdr>
        <w:top w:val="none" w:sz="0" w:space="0" w:color="auto"/>
        <w:left w:val="none" w:sz="0" w:space="0" w:color="auto"/>
        <w:bottom w:val="none" w:sz="0" w:space="0" w:color="auto"/>
        <w:right w:val="none" w:sz="0" w:space="0" w:color="auto"/>
      </w:divBdr>
      <w:divsChild>
        <w:div w:id="821773458">
          <w:marLeft w:val="0"/>
          <w:marRight w:val="0"/>
          <w:marTop w:val="0"/>
          <w:marBottom w:val="0"/>
          <w:divBdr>
            <w:top w:val="none" w:sz="0" w:space="0" w:color="auto"/>
            <w:left w:val="none" w:sz="0" w:space="0" w:color="auto"/>
            <w:bottom w:val="none" w:sz="0" w:space="0" w:color="auto"/>
            <w:right w:val="none" w:sz="0" w:space="0" w:color="auto"/>
          </w:divBdr>
          <w:divsChild>
            <w:div w:id="618880718">
              <w:marLeft w:val="0"/>
              <w:marRight w:val="0"/>
              <w:marTop w:val="0"/>
              <w:marBottom w:val="0"/>
              <w:divBdr>
                <w:top w:val="none" w:sz="0" w:space="0" w:color="auto"/>
                <w:left w:val="none" w:sz="0" w:space="0" w:color="auto"/>
                <w:bottom w:val="none" w:sz="0" w:space="0" w:color="auto"/>
                <w:right w:val="none" w:sz="0" w:space="0" w:color="auto"/>
              </w:divBdr>
              <w:divsChild>
                <w:div w:id="1426075152">
                  <w:marLeft w:val="0"/>
                  <w:marRight w:val="0"/>
                  <w:marTop w:val="0"/>
                  <w:marBottom w:val="0"/>
                  <w:divBdr>
                    <w:top w:val="none" w:sz="0" w:space="0" w:color="auto"/>
                    <w:left w:val="none" w:sz="0" w:space="0" w:color="auto"/>
                    <w:bottom w:val="none" w:sz="0" w:space="0" w:color="auto"/>
                    <w:right w:val="none" w:sz="0" w:space="0" w:color="auto"/>
                  </w:divBdr>
                  <w:divsChild>
                    <w:div w:id="152058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282088">
      <w:bodyDiv w:val="1"/>
      <w:marLeft w:val="0"/>
      <w:marRight w:val="0"/>
      <w:marTop w:val="0"/>
      <w:marBottom w:val="0"/>
      <w:divBdr>
        <w:top w:val="none" w:sz="0" w:space="0" w:color="auto"/>
        <w:left w:val="none" w:sz="0" w:space="0" w:color="auto"/>
        <w:bottom w:val="none" w:sz="0" w:space="0" w:color="auto"/>
        <w:right w:val="none" w:sz="0" w:space="0" w:color="auto"/>
      </w:divBdr>
    </w:div>
    <w:div w:id="909508695">
      <w:bodyDiv w:val="1"/>
      <w:marLeft w:val="0"/>
      <w:marRight w:val="0"/>
      <w:marTop w:val="0"/>
      <w:marBottom w:val="0"/>
      <w:divBdr>
        <w:top w:val="none" w:sz="0" w:space="0" w:color="auto"/>
        <w:left w:val="none" w:sz="0" w:space="0" w:color="auto"/>
        <w:bottom w:val="none" w:sz="0" w:space="0" w:color="auto"/>
        <w:right w:val="none" w:sz="0" w:space="0" w:color="auto"/>
      </w:divBdr>
    </w:div>
    <w:div w:id="1145046834">
      <w:bodyDiv w:val="1"/>
      <w:marLeft w:val="0"/>
      <w:marRight w:val="0"/>
      <w:marTop w:val="0"/>
      <w:marBottom w:val="0"/>
      <w:divBdr>
        <w:top w:val="none" w:sz="0" w:space="0" w:color="auto"/>
        <w:left w:val="none" w:sz="0" w:space="0" w:color="auto"/>
        <w:bottom w:val="none" w:sz="0" w:space="0" w:color="auto"/>
        <w:right w:val="none" w:sz="0" w:space="0" w:color="auto"/>
      </w:divBdr>
      <w:divsChild>
        <w:div w:id="841941694">
          <w:marLeft w:val="0"/>
          <w:marRight w:val="0"/>
          <w:marTop w:val="0"/>
          <w:marBottom w:val="0"/>
          <w:divBdr>
            <w:top w:val="none" w:sz="0" w:space="0" w:color="auto"/>
            <w:left w:val="none" w:sz="0" w:space="0" w:color="auto"/>
            <w:bottom w:val="none" w:sz="0" w:space="0" w:color="auto"/>
            <w:right w:val="none" w:sz="0" w:space="0" w:color="auto"/>
          </w:divBdr>
          <w:divsChild>
            <w:div w:id="1326858763">
              <w:marLeft w:val="0"/>
              <w:marRight w:val="0"/>
              <w:marTop w:val="0"/>
              <w:marBottom w:val="0"/>
              <w:divBdr>
                <w:top w:val="none" w:sz="0" w:space="0" w:color="auto"/>
                <w:left w:val="none" w:sz="0" w:space="0" w:color="auto"/>
                <w:bottom w:val="none" w:sz="0" w:space="0" w:color="auto"/>
                <w:right w:val="none" w:sz="0" w:space="0" w:color="auto"/>
              </w:divBdr>
              <w:divsChild>
                <w:div w:id="2067560719">
                  <w:marLeft w:val="0"/>
                  <w:marRight w:val="0"/>
                  <w:marTop w:val="0"/>
                  <w:marBottom w:val="0"/>
                  <w:divBdr>
                    <w:top w:val="none" w:sz="0" w:space="0" w:color="auto"/>
                    <w:left w:val="none" w:sz="0" w:space="0" w:color="auto"/>
                    <w:bottom w:val="none" w:sz="0" w:space="0" w:color="auto"/>
                    <w:right w:val="none" w:sz="0" w:space="0" w:color="auto"/>
                  </w:divBdr>
                  <w:divsChild>
                    <w:div w:id="177821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0791393">
      <w:bodyDiv w:val="1"/>
      <w:marLeft w:val="0"/>
      <w:marRight w:val="0"/>
      <w:marTop w:val="0"/>
      <w:marBottom w:val="0"/>
      <w:divBdr>
        <w:top w:val="none" w:sz="0" w:space="0" w:color="auto"/>
        <w:left w:val="none" w:sz="0" w:space="0" w:color="auto"/>
        <w:bottom w:val="none" w:sz="0" w:space="0" w:color="auto"/>
        <w:right w:val="none" w:sz="0" w:space="0" w:color="auto"/>
      </w:divBdr>
    </w:div>
    <w:div w:id="1397704070">
      <w:bodyDiv w:val="1"/>
      <w:marLeft w:val="0"/>
      <w:marRight w:val="0"/>
      <w:marTop w:val="0"/>
      <w:marBottom w:val="0"/>
      <w:divBdr>
        <w:top w:val="none" w:sz="0" w:space="0" w:color="auto"/>
        <w:left w:val="none" w:sz="0" w:space="0" w:color="auto"/>
        <w:bottom w:val="none" w:sz="0" w:space="0" w:color="auto"/>
        <w:right w:val="none" w:sz="0" w:space="0" w:color="auto"/>
      </w:divBdr>
    </w:div>
    <w:div w:id="1433863927">
      <w:bodyDiv w:val="1"/>
      <w:marLeft w:val="0"/>
      <w:marRight w:val="0"/>
      <w:marTop w:val="0"/>
      <w:marBottom w:val="0"/>
      <w:divBdr>
        <w:top w:val="none" w:sz="0" w:space="0" w:color="auto"/>
        <w:left w:val="none" w:sz="0" w:space="0" w:color="auto"/>
        <w:bottom w:val="none" w:sz="0" w:space="0" w:color="auto"/>
        <w:right w:val="none" w:sz="0" w:space="0" w:color="auto"/>
      </w:divBdr>
    </w:div>
    <w:div w:id="2087024389">
      <w:bodyDiv w:val="1"/>
      <w:marLeft w:val="0"/>
      <w:marRight w:val="0"/>
      <w:marTop w:val="0"/>
      <w:marBottom w:val="0"/>
      <w:divBdr>
        <w:top w:val="none" w:sz="0" w:space="0" w:color="auto"/>
        <w:left w:val="none" w:sz="0" w:space="0" w:color="auto"/>
        <w:bottom w:val="none" w:sz="0" w:space="0" w:color="auto"/>
        <w:right w:val="none" w:sz="0" w:space="0" w:color="auto"/>
      </w:divBdr>
    </w:div>
    <w:div w:id="2098747033">
      <w:bodyDiv w:val="1"/>
      <w:marLeft w:val="0"/>
      <w:marRight w:val="0"/>
      <w:marTop w:val="0"/>
      <w:marBottom w:val="0"/>
      <w:divBdr>
        <w:top w:val="none" w:sz="0" w:space="0" w:color="auto"/>
        <w:left w:val="none" w:sz="0" w:space="0" w:color="auto"/>
        <w:bottom w:val="none" w:sz="0" w:space="0" w:color="auto"/>
        <w:right w:val="none" w:sz="0" w:space="0" w:color="auto"/>
      </w:divBdr>
    </w:div>
    <w:div w:id="21391758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11</Pages>
  <Words>3261</Words>
  <Characters>17937</Characters>
  <Application>Microsoft Office Word</Application>
  <DocSecurity>0</DocSecurity>
  <Lines>149</Lines>
  <Paragraphs>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Khalil d’Abzac</cp:lastModifiedBy>
  <cp:revision>9</cp:revision>
  <dcterms:created xsi:type="dcterms:W3CDTF">2026-03-22T11:25:00Z</dcterms:created>
  <dcterms:modified xsi:type="dcterms:W3CDTF">2026-04-27T08:02:00Z</dcterms:modified>
</cp:coreProperties>
</file>