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077C" w14:textId="77777777" w:rsidR="00EA71A7" w:rsidRPr="00EA71A7" w:rsidRDefault="00EA71A7" w:rsidP="00EA71A7">
      <w:pPr>
        <w:spacing w:after="200" w:line="276" w:lineRule="auto"/>
        <w:jc w:val="both"/>
        <w:rPr>
          <w:rFonts w:ascii="SimSun" w:eastAsia="Aptos" w:hAnsi="SimSun" w:cs="Times New Roman"/>
          <w:b/>
          <w:kern w:val="0"/>
          <w:sz w:val="22"/>
          <w:szCs w:val="22"/>
          <w14:ligatures w14:val="none"/>
        </w:rPr>
      </w:pPr>
      <w:r w:rsidRPr="00EA71A7">
        <w:rPr>
          <w:rFonts w:ascii="SimSun" w:eastAsia="Aptos" w:hAnsi="SimSun" w:cs="Times New Roman"/>
          <w:b/>
          <w:kern w:val="0"/>
          <w:sz w:val="22"/>
          <w:szCs w:val="22"/>
          <w14:ligatures w14:val="none"/>
        </w:rPr>
        <w:t xml:space="preserve">   </w:t>
      </w:r>
      <w:r w:rsidRPr="00EA71A7">
        <w:rPr>
          <w:rFonts w:ascii="SimSun" w:eastAsia="Aptos" w:hAnsi="SimSun" w:cs="Times New Roman"/>
          <w:b/>
          <w:noProof/>
          <w:kern w:val="0"/>
          <w:sz w:val="22"/>
          <w:szCs w:val="22"/>
          <w:lang w:eastAsia="fr-FR"/>
          <w14:ligatures w14:val="none"/>
        </w:rPr>
        <w:drawing>
          <wp:inline distT="0" distB="0" distL="0" distR="0" wp14:anchorId="795A0A0F" wp14:editId="0E40DF42">
            <wp:extent cx="873125" cy="817244"/>
            <wp:effectExtent l="19050" t="0" r="3175" b="0"/>
            <wp:docPr id="1026" name="Image 1" descr="Description: Description: H:\Embleme-Tchad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rcRect/>
                    <a:stretch/>
                  </pic:blipFill>
                  <pic:spPr>
                    <a:xfrm>
                      <a:off x="0" y="0"/>
                      <a:ext cx="873125" cy="817244"/>
                    </a:xfrm>
                    <a:prstGeom prst="rect">
                      <a:avLst/>
                    </a:prstGeom>
                    <a:ln>
                      <a:noFill/>
                    </a:ln>
                  </pic:spPr>
                </pic:pic>
              </a:graphicData>
            </a:graphic>
          </wp:inline>
        </w:drawing>
      </w:r>
      <w:r w:rsidRPr="00EA71A7">
        <w:rPr>
          <w:rFonts w:ascii="SimSun" w:eastAsia="Aptos" w:hAnsi="SimSun" w:cs="Times New Roman"/>
          <w:b/>
          <w:kern w:val="0"/>
          <w:sz w:val="22"/>
          <w:szCs w:val="22"/>
          <w14:ligatures w14:val="none"/>
        </w:rPr>
        <w:t xml:space="preserve">                      </w:t>
      </w:r>
      <w:r w:rsidRPr="00EA71A7">
        <w:rPr>
          <w:rFonts w:ascii="Aptos" w:eastAsia="Aptos" w:hAnsi="Aptos" w:cs="Times New Roman"/>
          <w:noProof/>
          <w:kern w:val="0"/>
          <w:sz w:val="22"/>
          <w:szCs w:val="22"/>
          <w14:ligatures w14:val="none"/>
        </w:rPr>
        <w:drawing>
          <wp:inline distT="0" distB="0" distL="0" distR="0" wp14:anchorId="69C1998D" wp14:editId="432CA75D">
            <wp:extent cx="985148" cy="786130"/>
            <wp:effectExtent l="0" t="0" r="5715" b="0"/>
            <wp:docPr id="4" name="Image 3">
              <a:extLst xmlns:a="http://schemas.openxmlformats.org/drawingml/2006/main">
                <a:ext uri="{FF2B5EF4-FFF2-40B4-BE49-F238E27FC236}">
                  <a16:creationId xmlns:a16="http://schemas.microsoft.com/office/drawing/2014/main" id="{14E65B0C-47AD-06C9-6719-A90A41D784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14E65B0C-47AD-06C9-6719-A90A41D78401}"/>
                        </a:ext>
                      </a:extLst>
                    </pic:cNvPr>
                    <pic:cNvPicPr>
                      <a:picLocks noChangeAspect="1"/>
                    </pic:cNvPicPr>
                  </pic:nvPicPr>
                  <pic:blipFill>
                    <a:blip r:embed="rId8"/>
                    <a:stretch>
                      <a:fillRect/>
                    </a:stretch>
                  </pic:blipFill>
                  <pic:spPr>
                    <a:xfrm>
                      <a:off x="0" y="0"/>
                      <a:ext cx="990938" cy="790750"/>
                    </a:xfrm>
                    <a:prstGeom prst="rect">
                      <a:avLst/>
                    </a:prstGeom>
                    <a:noFill/>
                    <a:ln cap="flat">
                      <a:noFill/>
                    </a:ln>
                  </pic:spPr>
                </pic:pic>
              </a:graphicData>
            </a:graphic>
          </wp:inline>
        </w:drawing>
      </w:r>
      <w:r w:rsidRPr="00EA71A7">
        <w:rPr>
          <w:rFonts w:ascii="SimSun" w:eastAsia="Aptos" w:hAnsi="SimSun" w:cs="Times New Roman"/>
          <w:b/>
          <w:kern w:val="0"/>
          <w:sz w:val="22"/>
          <w:szCs w:val="22"/>
          <w14:ligatures w14:val="none"/>
        </w:rPr>
        <w:t xml:space="preserve">                   </w:t>
      </w:r>
      <w:r w:rsidRPr="00EA71A7">
        <w:rPr>
          <w:rFonts w:ascii="SimSun" w:eastAsia="Aptos" w:hAnsi="SimSun" w:cs="Times New Roman"/>
          <w:b/>
          <w:noProof/>
          <w:kern w:val="0"/>
          <w:sz w:val="22"/>
          <w:szCs w:val="22"/>
          <w:lang w:eastAsia="fr-FR"/>
          <w14:ligatures w14:val="none"/>
        </w:rPr>
        <w:drawing>
          <wp:inline distT="0" distB="0" distL="0" distR="0" wp14:anchorId="231D7F44" wp14:editId="3DA81D6F">
            <wp:extent cx="1267460" cy="817244"/>
            <wp:effectExtent l="19050" t="0" r="8890" b="0"/>
            <wp:docPr id="1027" name="Picture 1" descr="WB_F-WBG-vertical-RGB-hig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1267460" cy="817244"/>
                    </a:xfrm>
                    <a:prstGeom prst="rect">
                      <a:avLst/>
                    </a:prstGeom>
                    <a:ln>
                      <a:noFill/>
                    </a:ln>
                  </pic:spPr>
                </pic:pic>
              </a:graphicData>
            </a:graphic>
          </wp:inline>
        </w:drawing>
      </w:r>
      <w:r w:rsidRPr="00EA71A7">
        <w:rPr>
          <w:rFonts w:ascii="SimSun" w:eastAsia="Aptos" w:hAnsi="SimSun" w:cs="Times New Roman"/>
          <w:b/>
          <w:kern w:val="0"/>
          <w:sz w:val="22"/>
          <w:szCs w:val="22"/>
          <w14:ligatures w14:val="none"/>
        </w:rPr>
        <w:t xml:space="preserve">                 </w:t>
      </w:r>
      <w:r w:rsidRPr="00EA71A7">
        <w:rPr>
          <w:rFonts w:ascii="SimSun" w:eastAsia="Aptos" w:hAnsi="SimSun" w:cs="Times New Roman"/>
          <w:b/>
          <w:noProof/>
          <w:kern w:val="0"/>
          <w:sz w:val="22"/>
          <w:szCs w:val="22"/>
          <w:lang w:eastAsia="fr-FR"/>
          <w14:ligatures w14:val="none"/>
        </w:rPr>
        <w:t xml:space="preserve"> </w:t>
      </w:r>
      <w:r w:rsidRPr="00EA71A7">
        <w:rPr>
          <w:rFonts w:ascii="SimSun" w:eastAsia="Aptos" w:hAnsi="SimSun" w:cs="Times New Roman"/>
          <w:b/>
          <w:kern w:val="0"/>
          <w:sz w:val="22"/>
          <w:szCs w:val="22"/>
          <w14:ligatures w14:val="none"/>
        </w:rPr>
        <w:t xml:space="preserve">                                                       </w:t>
      </w:r>
    </w:p>
    <w:p w14:paraId="54BDEC2C" w14:textId="77777777" w:rsidR="00EA71A7" w:rsidRPr="00EA71A7" w:rsidRDefault="00EA71A7" w:rsidP="00EA71A7">
      <w:pPr>
        <w:spacing w:line="259" w:lineRule="auto"/>
        <w:rPr>
          <w:rFonts w:ascii="Arial" w:eastAsia="Aptos" w:hAnsi="Arial" w:cs="Arial"/>
          <w:kern w:val="0"/>
          <w14:ligatures w14:val="none"/>
        </w:rPr>
      </w:pPr>
    </w:p>
    <w:p w14:paraId="151A42CE" w14:textId="77777777" w:rsidR="00EA71A7" w:rsidRPr="00EA71A7" w:rsidRDefault="00EA71A7" w:rsidP="00EA71A7">
      <w:pPr>
        <w:spacing w:line="259" w:lineRule="auto"/>
        <w:jc w:val="center"/>
        <w:rPr>
          <w:rFonts w:ascii="Arial" w:eastAsia="Aptos" w:hAnsi="Arial" w:cs="Arial"/>
          <w:b/>
          <w:bCs/>
          <w:color w:val="0070C0"/>
          <w:kern w:val="0"/>
          <w14:ligatures w14:val="none"/>
        </w:rPr>
      </w:pPr>
      <w:r w:rsidRPr="00EA71A7">
        <w:rPr>
          <w:rFonts w:ascii="Arial" w:eastAsia="Aptos" w:hAnsi="Arial" w:cs="Arial"/>
          <w:b/>
          <w:bCs/>
          <w:color w:val="0070C0"/>
          <w:kern w:val="0"/>
          <w14:ligatures w14:val="none"/>
        </w:rPr>
        <w:t>Projet pour l’Autonomisation des Femmes et le Dividende Démographique en Afrique Subsaharienne Plus (SWEDD+)</w:t>
      </w:r>
    </w:p>
    <w:p w14:paraId="2B81A51D" w14:textId="77777777" w:rsidR="00EA71A7" w:rsidRPr="00EA71A7" w:rsidRDefault="00EA71A7" w:rsidP="00EA71A7">
      <w:pPr>
        <w:spacing w:line="259" w:lineRule="auto"/>
        <w:jc w:val="center"/>
        <w:rPr>
          <w:rFonts w:ascii="Arial" w:eastAsia="Aptos" w:hAnsi="Arial" w:cs="Arial"/>
          <w:b/>
          <w:bCs/>
          <w:color w:val="0070C0"/>
          <w:kern w:val="0"/>
          <w14:ligatures w14:val="none"/>
        </w:rPr>
      </w:pPr>
      <w:r w:rsidRPr="00EA71A7">
        <w:rPr>
          <w:rFonts w:ascii="Aptos" w:eastAsia="Aptos" w:hAnsi="Aptos" w:cs="Times New Roman"/>
          <w:noProof/>
          <w:kern w:val="0"/>
          <w:lang w:val="en-US"/>
          <w14:ligatures w14:val="none"/>
        </w:rPr>
        <w:drawing>
          <wp:inline distT="0" distB="0" distL="0" distR="0" wp14:anchorId="757DFAF8" wp14:editId="7D11FF84">
            <wp:extent cx="1831521" cy="670176"/>
            <wp:effectExtent l="0" t="0" r="0" b="0"/>
            <wp:docPr id="2" name="image2.jpg" descr="C:\Users\DJIMYABAYE\Desktop\LOGO-SWEDD-VALIDÉ.jpg"/>
            <wp:cNvGraphicFramePr/>
            <a:graphic xmlns:a="http://schemas.openxmlformats.org/drawingml/2006/main">
              <a:graphicData uri="http://schemas.openxmlformats.org/drawingml/2006/picture">
                <pic:pic xmlns:pic="http://schemas.openxmlformats.org/drawingml/2006/picture">
                  <pic:nvPicPr>
                    <pic:cNvPr id="0" name="image2.jpg" descr="C:\Users\DJIMYABAYE\Desktop\LOGO-SWEDD-VALIDÉ.jpg"/>
                    <pic:cNvPicPr preferRelativeResize="0"/>
                  </pic:nvPicPr>
                  <pic:blipFill>
                    <a:blip r:embed="rId10"/>
                    <a:srcRect/>
                    <a:stretch>
                      <a:fillRect/>
                    </a:stretch>
                  </pic:blipFill>
                  <pic:spPr>
                    <a:xfrm>
                      <a:off x="0" y="0"/>
                      <a:ext cx="1831521" cy="670176"/>
                    </a:xfrm>
                    <a:prstGeom prst="rect">
                      <a:avLst/>
                    </a:prstGeom>
                    <a:ln/>
                  </pic:spPr>
                </pic:pic>
              </a:graphicData>
            </a:graphic>
          </wp:inline>
        </w:drawing>
      </w:r>
    </w:p>
    <w:p w14:paraId="27A81FEE" w14:textId="76D0178F" w:rsidR="00EA71A7" w:rsidRPr="00EA71A7" w:rsidRDefault="00EA71A7" w:rsidP="00EA71A7">
      <w:pPr>
        <w:shd w:val="clear" w:color="auto" w:fill="E36C0A"/>
        <w:spacing w:after="200" w:line="276" w:lineRule="auto"/>
        <w:jc w:val="center"/>
        <w:rPr>
          <w:rFonts w:ascii="Tahoma" w:eastAsia="Aptos" w:hAnsi="Tahoma" w:cs="Tahoma"/>
          <w:b/>
          <w:color w:val="EAF1DD"/>
          <w:kern w:val="0"/>
          <w:szCs w:val="22"/>
          <w14:ligatures w14:val="none"/>
        </w:rPr>
      </w:pPr>
      <w:r w:rsidRPr="00EA71A7">
        <w:rPr>
          <w:rFonts w:ascii="Tahoma" w:eastAsia="Aptos" w:hAnsi="Tahoma" w:cs="Tahoma"/>
          <w:b/>
          <w:color w:val="EAF1DD"/>
          <w:kern w:val="0"/>
          <w:szCs w:val="22"/>
          <w:lang w:val="es-ES"/>
          <w14:ligatures w14:val="none"/>
        </w:rPr>
        <w:t>TERMES DE REFERENCES POUR FORMER 3,000 JEUNES FILLES AUX MÉTIERS DANS LES STRUCTURES DE FORMATION TECHNIQUE ET PROFESSIONNELLE</w:t>
      </w:r>
    </w:p>
    <w:p w14:paraId="77DDB17E" w14:textId="77777777" w:rsidR="00EA71A7" w:rsidRPr="00EA71A7" w:rsidRDefault="00EA71A7" w:rsidP="00EA71A7">
      <w:pPr>
        <w:spacing w:line="259" w:lineRule="auto"/>
        <w:rPr>
          <w:rFonts w:ascii="Arial" w:eastAsia="Aptos" w:hAnsi="Arial" w:cs="Arial"/>
          <w:b/>
          <w:bCs/>
          <w:kern w:val="0"/>
          <w14:ligatures w14:val="none"/>
        </w:rPr>
      </w:pPr>
    </w:p>
    <w:tbl>
      <w:tblPr>
        <w:tblStyle w:val="Grilledutableau"/>
        <w:tblW w:w="10915" w:type="dxa"/>
        <w:tblInd w:w="-714" w:type="dxa"/>
        <w:tblLook w:val="04A0" w:firstRow="1" w:lastRow="0" w:firstColumn="1" w:lastColumn="0" w:noHBand="0" w:noVBand="1"/>
      </w:tblPr>
      <w:tblGrid>
        <w:gridCol w:w="2410"/>
        <w:gridCol w:w="8505"/>
      </w:tblGrid>
      <w:tr w:rsidR="00EA71A7" w:rsidRPr="00EA71A7" w14:paraId="11F0FCF9" w14:textId="77777777" w:rsidTr="00566917">
        <w:trPr>
          <w:trHeight w:val="405"/>
        </w:trPr>
        <w:tc>
          <w:tcPr>
            <w:tcW w:w="2410" w:type="dxa"/>
          </w:tcPr>
          <w:p w14:paraId="0EEF2C48" w14:textId="77777777" w:rsidR="00EA71A7" w:rsidRPr="00EA71A7" w:rsidRDefault="00EA71A7" w:rsidP="00EA71A7">
            <w:pPr>
              <w:rPr>
                <w:rFonts w:ascii="Arial" w:eastAsia="Aptos" w:hAnsi="Arial" w:cs="Arial"/>
              </w:rPr>
            </w:pPr>
            <w:r w:rsidRPr="00EA71A7">
              <w:rPr>
                <w:rFonts w:ascii="Arial" w:eastAsia="Aptos" w:hAnsi="Arial" w:cs="Arial"/>
                <w:lang w:eastAsia="fr-FR"/>
              </w:rPr>
              <w:t>Composante</w:t>
            </w:r>
          </w:p>
        </w:tc>
        <w:tc>
          <w:tcPr>
            <w:tcW w:w="8505" w:type="dxa"/>
          </w:tcPr>
          <w:p w14:paraId="0882833A" w14:textId="77777777" w:rsidR="00EA71A7" w:rsidRPr="00EA71A7" w:rsidRDefault="00EA71A7" w:rsidP="00EA71A7">
            <w:pPr>
              <w:jc w:val="both"/>
              <w:rPr>
                <w:rFonts w:ascii="Arial" w:eastAsia="Garamond" w:hAnsi="Arial" w:cs="Arial"/>
                <w:bCs/>
                <w:color w:val="FF0000"/>
              </w:rPr>
            </w:pPr>
            <w:r w:rsidRPr="00EA71A7">
              <w:rPr>
                <w:rFonts w:ascii="Arial" w:eastAsia="Garamond" w:hAnsi="Arial" w:cs="Arial"/>
                <w:b/>
              </w:rPr>
              <w:t>COMPOSANTE 1 : Concevoir et mettre en œuvre des interventions transformatrices en matière de genre par le biais des 4E qui favorisent l'autonomisation sociale et économique des filles et des femmes</w:t>
            </w:r>
          </w:p>
        </w:tc>
      </w:tr>
      <w:tr w:rsidR="00EA71A7" w:rsidRPr="00EA71A7" w14:paraId="17757931" w14:textId="77777777" w:rsidTr="00566917">
        <w:trPr>
          <w:trHeight w:val="791"/>
        </w:trPr>
        <w:tc>
          <w:tcPr>
            <w:tcW w:w="2410" w:type="dxa"/>
          </w:tcPr>
          <w:p w14:paraId="65259912" w14:textId="77777777" w:rsidR="00EA71A7" w:rsidRPr="00EA71A7" w:rsidRDefault="00EA71A7" w:rsidP="00EA71A7">
            <w:pPr>
              <w:spacing w:after="200" w:line="276" w:lineRule="auto"/>
              <w:rPr>
                <w:rFonts w:ascii="Arial" w:eastAsia="Aptos" w:hAnsi="Arial" w:cs="Arial"/>
              </w:rPr>
            </w:pPr>
            <w:r w:rsidRPr="00EA71A7">
              <w:rPr>
                <w:rFonts w:ascii="Arial" w:eastAsia="Garamond" w:hAnsi="Arial" w:cs="Arial"/>
                <w:bCs/>
              </w:rPr>
              <w:t>Sous Composante</w:t>
            </w:r>
          </w:p>
        </w:tc>
        <w:tc>
          <w:tcPr>
            <w:tcW w:w="8505" w:type="dxa"/>
          </w:tcPr>
          <w:p w14:paraId="6E6E45B7" w14:textId="77777777" w:rsidR="00EA71A7" w:rsidRPr="00EA71A7" w:rsidRDefault="00EA71A7" w:rsidP="00EA71A7">
            <w:pPr>
              <w:spacing w:after="200" w:line="276" w:lineRule="auto"/>
              <w:rPr>
                <w:rFonts w:ascii="Arial" w:eastAsia="Aptos" w:hAnsi="Arial" w:cs="Arial"/>
              </w:rPr>
            </w:pPr>
            <w:r w:rsidRPr="00EA71A7">
              <w:rPr>
                <w:rFonts w:ascii="Arial" w:eastAsia="Garamond" w:hAnsi="Arial" w:cs="Arial"/>
                <w:b/>
              </w:rPr>
              <w:t>Sous-Projet 4 : Renforcer l'insertion socioprofessionnelle des filles et des jeunes filles</w:t>
            </w:r>
          </w:p>
        </w:tc>
      </w:tr>
      <w:tr w:rsidR="00EA71A7" w:rsidRPr="00EA71A7" w14:paraId="094A05BF" w14:textId="77777777" w:rsidTr="00566917">
        <w:trPr>
          <w:trHeight w:val="810"/>
        </w:trPr>
        <w:tc>
          <w:tcPr>
            <w:tcW w:w="2410" w:type="dxa"/>
          </w:tcPr>
          <w:p w14:paraId="10B6FC15" w14:textId="77777777" w:rsidR="00EA71A7" w:rsidRPr="00EA71A7" w:rsidRDefault="00EA71A7" w:rsidP="00EA71A7">
            <w:pPr>
              <w:rPr>
                <w:rFonts w:ascii="Arial" w:eastAsia="Aptos" w:hAnsi="Arial" w:cs="Arial"/>
              </w:rPr>
            </w:pPr>
            <w:r w:rsidRPr="00EA71A7">
              <w:rPr>
                <w:rFonts w:ascii="Arial" w:eastAsia="Aptos" w:hAnsi="Arial" w:cs="Arial"/>
                <w:lang w:eastAsia="fr-FR"/>
              </w:rPr>
              <w:t>Références au PTBA non objecté</w:t>
            </w:r>
          </w:p>
        </w:tc>
        <w:tc>
          <w:tcPr>
            <w:tcW w:w="8505" w:type="dxa"/>
          </w:tcPr>
          <w:p w14:paraId="56F17CB5" w14:textId="39544D66" w:rsidR="00EA71A7" w:rsidRPr="00EA71A7" w:rsidRDefault="00EA71A7" w:rsidP="00EA71A7">
            <w:pPr>
              <w:jc w:val="both"/>
              <w:rPr>
                <w:rFonts w:ascii="Arial" w:eastAsia="Aptos" w:hAnsi="Arial" w:cs="Arial"/>
                <w:color w:val="FF0000"/>
                <w:lang w:eastAsia="fr-FR"/>
              </w:rPr>
            </w:pPr>
            <w:r w:rsidRPr="00EA71A7">
              <w:rPr>
                <w:rFonts w:ascii="Arial" w:eastAsia="Aptos" w:hAnsi="Arial" w:cs="Arial"/>
                <w:b/>
                <w:bCs/>
              </w:rPr>
              <w:t>1.2.4.0</w:t>
            </w:r>
            <w:r>
              <w:rPr>
                <w:rFonts w:ascii="Arial" w:eastAsia="Aptos" w:hAnsi="Arial" w:cs="Arial"/>
                <w:b/>
                <w:bCs/>
              </w:rPr>
              <w:t>8</w:t>
            </w:r>
            <w:r w:rsidRPr="00EA71A7">
              <w:rPr>
                <w:rFonts w:ascii="Arial" w:eastAsia="Aptos" w:hAnsi="Arial" w:cs="Arial"/>
                <w:b/>
                <w:bCs/>
              </w:rPr>
              <w:t xml:space="preserve"> </w:t>
            </w:r>
            <w:proofErr w:type="gramStart"/>
            <w:r w:rsidRPr="00EA71A7">
              <w:rPr>
                <w:rFonts w:ascii="Arial" w:eastAsia="Aptos" w:hAnsi="Arial" w:cs="Arial"/>
                <w:b/>
                <w:bCs/>
              </w:rPr>
              <w:t xml:space="preserve">+ </w:t>
            </w:r>
            <w:r w:rsidRPr="00EA71A7">
              <w:rPr>
                <w:rFonts w:ascii="Tahoma" w:eastAsia="Aptos" w:hAnsi="Tahoma" w:cs="Tahoma"/>
                <w:b/>
                <w:lang w:val="es-ES"/>
              </w:rPr>
              <w:t xml:space="preserve"> </w:t>
            </w:r>
            <w:proofErr w:type="spellStart"/>
            <w:r w:rsidRPr="00EA71A7">
              <w:rPr>
                <w:rFonts w:ascii="Tahoma" w:eastAsia="Aptos" w:hAnsi="Tahoma" w:cs="Tahoma"/>
                <w:b/>
                <w:lang w:val="es-ES"/>
              </w:rPr>
              <w:t>Former</w:t>
            </w:r>
            <w:proofErr w:type="spellEnd"/>
            <w:proofErr w:type="gramEnd"/>
            <w:r w:rsidRPr="00EA71A7">
              <w:rPr>
                <w:rFonts w:ascii="Tahoma" w:eastAsia="Aptos" w:hAnsi="Tahoma" w:cs="Tahoma"/>
                <w:b/>
                <w:lang w:val="es-ES"/>
              </w:rPr>
              <w:t xml:space="preserve"> 3,000 </w:t>
            </w:r>
            <w:proofErr w:type="spellStart"/>
            <w:r w:rsidRPr="00EA71A7">
              <w:rPr>
                <w:rFonts w:ascii="Tahoma" w:eastAsia="Aptos" w:hAnsi="Tahoma" w:cs="Tahoma"/>
                <w:b/>
                <w:lang w:val="es-ES"/>
              </w:rPr>
              <w:t>jeunes</w:t>
            </w:r>
            <w:proofErr w:type="spellEnd"/>
            <w:r w:rsidRPr="00EA71A7">
              <w:rPr>
                <w:rFonts w:ascii="Tahoma" w:eastAsia="Aptos" w:hAnsi="Tahoma" w:cs="Tahoma"/>
                <w:b/>
                <w:lang w:val="es-ES"/>
              </w:rPr>
              <w:t xml:space="preserve"> </w:t>
            </w:r>
            <w:proofErr w:type="spellStart"/>
            <w:r w:rsidRPr="00EA71A7">
              <w:rPr>
                <w:rFonts w:ascii="Tahoma" w:eastAsia="Aptos" w:hAnsi="Tahoma" w:cs="Tahoma"/>
                <w:b/>
                <w:lang w:val="es-ES"/>
              </w:rPr>
              <w:t>filles</w:t>
            </w:r>
            <w:proofErr w:type="spellEnd"/>
            <w:r w:rsidRPr="00EA71A7">
              <w:rPr>
                <w:rFonts w:ascii="Tahoma" w:eastAsia="Aptos" w:hAnsi="Tahoma" w:cs="Tahoma"/>
                <w:b/>
                <w:lang w:val="es-ES"/>
              </w:rPr>
              <w:t xml:space="preserve"> </w:t>
            </w:r>
            <w:proofErr w:type="spellStart"/>
            <w:r w:rsidRPr="00EA71A7">
              <w:rPr>
                <w:rFonts w:ascii="Tahoma" w:eastAsia="Aptos" w:hAnsi="Tahoma" w:cs="Tahoma"/>
                <w:b/>
                <w:lang w:val="es-ES"/>
              </w:rPr>
              <w:t>aux</w:t>
            </w:r>
            <w:proofErr w:type="spellEnd"/>
            <w:r w:rsidRPr="00EA71A7">
              <w:rPr>
                <w:rFonts w:ascii="Tahoma" w:eastAsia="Aptos" w:hAnsi="Tahoma" w:cs="Tahoma"/>
                <w:b/>
                <w:lang w:val="es-ES"/>
              </w:rPr>
              <w:t xml:space="preserve"> </w:t>
            </w:r>
            <w:proofErr w:type="spellStart"/>
            <w:r w:rsidRPr="00EA71A7">
              <w:rPr>
                <w:rFonts w:ascii="Tahoma" w:eastAsia="Aptos" w:hAnsi="Tahoma" w:cs="Tahoma"/>
                <w:b/>
                <w:lang w:val="es-ES"/>
              </w:rPr>
              <w:t>métiers</w:t>
            </w:r>
            <w:proofErr w:type="spellEnd"/>
            <w:r w:rsidRPr="00EA71A7">
              <w:rPr>
                <w:rFonts w:ascii="Tahoma" w:eastAsia="Aptos" w:hAnsi="Tahoma" w:cs="Tahoma"/>
                <w:b/>
                <w:lang w:val="es-ES"/>
              </w:rPr>
              <w:t xml:space="preserve"> </w:t>
            </w:r>
            <w:proofErr w:type="spellStart"/>
            <w:r w:rsidRPr="00EA71A7">
              <w:rPr>
                <w:rFonts w:ascii="Tahoma" w:eastAsia="Aptos" w:hAnsi="Tahoma" w:cs="Tahoma"/>
                <w:b/>
                <w:lang w:val="es-ES"/>
              </w:rPr>
              <w:t>dans</w:t>
            </w:r>
            <w:proofErr w:type="spellEnd"/>
            <w:r w:rsidRPr="00EA71A7">
              <w:rPr>
                <w:rFonts w:ascii="Tahoma" w:eastAsia="Aptos" w:hAnsi="Tahoma" w:cs="Tahoma"/>
                <w:b/>
                <w:lang w:val="es-ES"/>
              </w:rPr>
              <w:t xml:space="preserve"> les </w:t>
            </w:r>
            <w:proofErr w:type="spellStart"/>
            <w:r w:rsidRPr="00EA71A7">
              <w:rPr>
                <w:rFonts w:ascii="Tahoma" w:eastAsia="Aptos" w:hAnsi="Tahoma" w:cs="Tahoma"/>
                <w:b/>
                <w:lang w:val="es-ES"/>
              </w:rPr>
              <w:t>structures</w:t>
            </w:r>
            <w:proofErr w:type="spellEnd"/>
            <w:r w:rsidRPr="00EA71A7">
              <w:rPr>
                <w:rFonts w:ascii="Tahoma" w:eastAsia="Aptos" w:hAnsi="Tahoma" w:cs="Tahoma"/>
                <w:b/>
                <w:lang w:val="es-ES"/>
              </w:rPr>
              <w:t xml:space="preserve"> de </w:t>
            </w:r>
            <w:proofErr w:type="spellStart"/>
            <w:r w:rsidRPr="00EA71A7">
              <w:rPr>
                <w:rFonts w:ascii="Tahoma" w:eastAsia="Aptos" w:hAnsi="Tahoma" w:cs="Tahoma"/>
                <w:b/>
                <w:lang w:val="es-ES"/>
              </w:rPr>
              <w:t>formation</w:t>
            </w:r>
            <w:proofErr w:type="spellEnd"/>
            <w:r w:rsidRPr="00EA71A7">
              <w:rPr>
                <w:rFonts w:ascii="Tahoma" w:eastAsia="Aptos" w:hAnsi="Tahoma" w:cs="Tahoma"/>
                <w:b/>
                <w:lang w:val="es-ES"/>
              </w:rPr>
              <w:t xml:space="preserve"> </w:t>
            </w:r>
            <w:proofErr w:type="spellStart"/>
            <w:r w:rsidRPr="00EA71A7">
              <w:rPr>
                <w:rFonts w:ascii="Tahoma" w:eastAsia="Aptos" w:hAnsi="Tahoma" w:cs="Tahoma"/>
                <w:b/>
                <w:lang w:val="es-ES"/>
              </w:rPr>
              <w:t>technique</w:t>
            </w:r>
            <w:proofErr w:type="spellEnd"/>
            <w:r w:rsidRPr="00EA71A7">
              <w:rPr>
                <w:rFonts w:ascii="Tahoma" w:eastAsia="Aptos" w:hAnsi="Tahoma" w:cs="Tahoma"/>
                <w:b/>
                <w:lang w:val="es-ES"/>
              </w:rPr>
              <w:t xml:space="preserve"> et </w:t>
            </w:r>
            <w:proofErr w:type="spellStart"/>
            <w:r w:rsidRPr="00EA71A7">
              <w:rPr>
                <w:rFonts w:ascii="Tahoma" w:eastAsia="Aptos" w:hAnsi="Tahoma" w:cs="Tahoma"/>
                <w:b/>
                <w:lang w:val="es-ES"/>
              </w:rPr>
              <w:t>professionnelle</w:t>
            </w:r>
            <w:proofErr w:type="spellEnd"/>
          </w:p>
        </w:tc>
      </w:tr>
      <w:tr w:rsidR="00EA71A7" w:rsidRPr="00EA71A7" w14:paraId="4A479666" w14:textId="77777777" w:rsidTr="00566917">
        <w:trPr>
          <w:trHeight w:val="926"/>
        </w:trPr>
        <w:tc>
          <w:tcPr>
            <w:tcW w:w="2410" w:type="dxa"/>
          </w:tcPr>
          <w:p w14:paraId="77CB29A1" w14:textId="77777777" w:rsidR="00EA71A7" w:rsidRPr="00EA71A7" w:rsidRDefault="00EA71A7" w:rsidP="00EA71A7">
            <w:pPr>
              <w:rPr>
                <w:rFonts w:ascii="Arial" w:eastAsia="Aptos" w:hAnsi="Arial" w:cs="Arial"/>
                <w:lang w:eastAsia="fr-FR"/>
              </w:rPr>
            </w:pPr>
            <w:r w:rsidRPr="00EA71A7">
              <w:rPr>
                <w:rFonts w:ascii="Arial" w:eastAsia="Aptos" w:hAnsi="Arial" w:cs="Arial"/>
                <w:lang w:eastAsia="fr-FR"/>
              </w:rPr>
              <w:t>Budget Prévisionnel PTBA</w:t>
            </w:r>
          </w:p>
        </w:tc>
        <w:tc>
          <w:tcPr>
            <w:tcW w:w="8505" w:type="dxa"/>
          </w:tcPr>
          <w:p w14:paraId="4808FD00" w14:textId="77777777" w:rsidR="00EA71A7" w:rsidRPr="00EA71A7" w:rsidRDefault="00EA71A7" w:rsidP="00EA71A7">
            <w:pPr>
              <w:jc w:val="center"/>
              <w:rPr>
                <w:rFonts w:ascii="Arial" w:eastAsia="Aptos" w:hAnsi="Arial" w:cs="Arial"/>
                <w:b/>
                <w:bCs/>
              </w:rPr>
            </w:pPr>
          </w:p>
          <w:p w14:paraId="1BDEB80D" w14:textId="75F95CF5" w:rsidR="00EA71A7" w:rsidRPr="00EA71A7" w:rsidRDefault="00EA71A7" w:rsidP="00EA71A7">
            <w:pPr>
              <w:jc w:val="center"/>
              <w:rPr>
                <w:rFonts w:ascii="Arial" w:eastAsia="Aptos" w:hAnsi="Arial" w:cs="Arial"/>
                <w:b/>
                <w:bCs/>
                <w:color w:val="FF0000"/>
              </w:rPr>
            </w:pPr>
            <w:r w:rsidRPr="00EA71A7">
              <w:rPr>
                <w:rFonts w:ascii="Arial" w:eastAsia="Aptos" w:hAnsi="Arial" w:cs="Arial"/>
                <w:b/>
                <w:bCs/>
              </w:rPr>
              <w:t>1275000</w:t>
            </w:r>
            <w:r>
              <w:rPr>
                <w:rFonts w:ascii="Arial" w:eastAsia="Aptos" w:hAnsi="Arial" w:cs="Arial"/>
                <w:b/>
                <w:bCs/>
              </w:rPr>
              <w:t xml:space="preserve"> </w:t>
            </w:r>
            <w:r w:rsidRPr="00EA71A7">
              <w:rPr>
                <w:rFonts w:ascii="Arial" w:eastAsia="Aptos" w:hAnsi="Arial" w:cs="Arial"/>
                <w:b/>
                <w:bCs/>
              </w:rPr>
              <w:t>USD</w:t>
            </w:r>
          </w:p>
        </w:tc>
      </w:tr>
    </w:tbl>
    <w:p w14:paraId="3761B26E" w14:textId="77777777" w:rsidR="00EA71A7" w:rsidRPr="00EA71A7" w:rsidRDefault="00EA71A7" w:rsidP="00EA71A7">
      <w:pPr>
        <w:spacing w:line="259" w:lineRule="auto"/>
        <w:jc w:val="center"/>
        <w:rPr>
          <w:rFonts w:ascii="Arial" w:eastAsia="Aptos" w:hAnsi="Arial" w:cs="Arial"/>
          <w:b/>
          <w:bCs/>
          <w:kern w:val="0"/>
          <w14:ligatures w14:val="none"/>
        </w:rPr>
      </w:pPr>
    </w:p>
    <w:p w14:paraId="3A06E49A" w14:textId="77777777" w:rsidR="00EA71A7" w:rsidRPr="00EA71A7" w:rsidRDefault="00EA71A7" w:rsidP="00EA71A7">
      <w:pPr>
        <w:spacing w:line="259" w:lineRule="auto"/>
        <w:jc w:val="center"/>
        <w:rPr>
          <w:rFonts w:ascii="Arial" w:eastAsia="Aptos" w:hAnsi="Arial" w:cs="Arial"/>
          <w:b/>
          <w:bCs/>
          <w:kern w:val="0"/>
          <w14:ligatures w14:val="none"/>
        </w:rPr>
      </w:pPr>
    </w:p>
    <w:p w14:paraId="357CBC17" w14:textId="77777777" w:rsidR="00EA71A7" w:rsidRPr="00EA71A7" w:rsidRDefault="00EA71A7" w:rsidP="00EA71A7">
      <w:pPr>
        <w:spacing w:line="259" w:lineRule="auto"/>
        <w:jc w:val="center"/>
        <w:rPr>
          <w:rFonts w:ascii="Arial" w:eastAsia="Aptos" w:hAnsi="Arial" w:cs="Arial"/>
          <w:b/>
          <w:bCs/>
          <w:color w:val="0070C0"/>
          <w:kern w:val="0"/>
          <w14:ligatures w14:val="none"/>
        </w:rPr>
      </w:pPr>
    </w:p>
    <w:p w14:paraId="0D489786"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34E9A900"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03053D1F"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7B0672C0"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416D1B33"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11B95037" w14:textId="77777777" w:rsidR="00EA71A7" w:rsidRPr="00EA71A7" w:rsidRDefault="00EA71A7" w:rsidP="00EA71A7">
      <w:pPr>
        <w:spacing w:before="100" w:beforeAutospacing="1" w:after="100" w:afterAutospacing="1" w:line="360" w:lineRule="auto"/>
        <w:jc w:val="both"/>
        <w:rPr>
          <w:rFonts w:ascii="Tahoma" w:eastAsia="Times New Roman" w:hAnsi="Tahoma" w:cs="Tahoma"/>
          <w:kern w:val="0"/>
          <w:lang w:eastAsia="fr-FR"/>
          <w14:ligatures w14:val="none"/>
        </w:rPr>
      </w:pPr>
    </w:p>
    <w:p w14:paraId="7C066985" w14:textId="65707B3C" w:rsidR="00EA71A7" w:rsidRPr="00EA71A7" w:rsidRDefault="00EA71A7" w:rsidP="00EA71A7">
      <w:pPr>
        <w:spacing w:before="100" w:beforeAutospacing="1" w:after="100" w:afterAutospacing="1" w:line="360" w:lineRule="auto"/>
        <w:jc w:val="center"/>
        <w:rPr>
          <w:rFonts w:ascii="Tahoma" w:eastAsia="Times New Roman" w:hAnsi="Tahoma" w:cs="Tahoma"/>
          <w:color w:val="4C94D8" w:themeColor="text2" w:themeTint="80"/>
          <w:kern w:val="0"/>
          <w:lang w:eastAsia="fr-FR"/>
          <w14:ligatures w14:val="none"/>
        </w:rPr>
      </w:pPr>
      <w:r w:rsidRPr="00EA71A7">
        <w:rPr>
          <w:rFonts w:ascii="Tahoma" w:eastAsia="Times New Roman" w:hAnsi="Tahoma" w:cs="Tahoma"/>
          <w:color w:val="4C94D8" w:themeColor="text2" w:themeTint="80"/>
          <w:kern w:val="0"/>
          <w:lang w:eastAsia="fr-FR"/>
          <w14:ligatures w14:val="none"/>
        </w:rPr>
        <w:lastRenderedPageBreak/>
        <w:t>CONTEXTE ET JUSTIFICATION</w:t>
      </w:r>
    </w:p>
    <w:p w14:paraId="1D0B1625"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r w:rsidRPr="006C487A">
        <w:rPr>
          <w:rFonts w:ascii="Tahoma" w:eastAsia="Aptos" w:hAnsi="Tahoma" w:cs="Tahoma"/>
          <w:color w:val="000000"/>
          <w:kern w:val="0"/>
        </w:rPr>
        <w:t xml:space="preserve">En Afrique subsaharienne, la transition démographique, le passage de niveaux élevés à faibles taux de mortalité et de fécondité, n’en est encore qu’à ses débuts. Les taux de fécondité restent obstinément élevés (plus de quatre enfants par femme en moyenne), en particulier parmi les pauvres des zones rurales. </w:t>
      </w:r>
    </w:p>
    <w:p w14:paraId="4D5D429C"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r w:rsidRPr="006C487A">
        <w:rPr>
          <w:rFonts w:ascii="Tahoma" w:eastAsia="Aptos" w:hAnsi="Tahoma" w:cs="Tahoma"/>
          <w:color w:val="000000"/>
          <w:kern w:val="0"/>
        </w:rPr>
        <w:t>Le Tchad est un pays sahélien et enclavé d'Afrique centrale qui fait face à des défis sécuritaires liés aux conflits dans les pays voisins ainsi qu'aux conséquences du changement climatique, avec l'accélération de la désertification et l'assèchement du lac Tchad. Le pays a un niveau de pauvreté élevé avec 42% de la population vivant en dessous du seuil de pauvreté national. L'indice du capital humain de la Banque mondiale pour le Tchad est de 0,30. Cela signifie qu'un enfant qui naît aujourd'hui sera 70 % moins productif à l'âge adulte qu'un enfant qui a reçu une éducation de qualité et bénéficie de services de santé adaptés. Avec 860 décès pour 100 000 naissances vivantes</w:t>
      </w:r>
      <w:r w:rsidRPr="006C487A">
        <w:rPr>
          <w:rFonts w:ascii="Tahoma" w:eastAsia="Aptos" w:hAnsi="Tahoma" w:cs="Tahoma"/>
          <w:color w:val="000000"/>
          <w:kern w:val="0"/>
          <w:vertAlign w:val="superscript"/>
        </w:rPr>
        <w:footnoteReference w:id="1"/>
      </w:r>
      <w:r w:rsidRPr="006C487A">
        <w:rPr>
          <w:rFonts w:ascii="Tahoma" w:eastAsia="Aptos" w:hAnsi="Tahoma" w:cs="Tahoma"/>
          <w:color w:val="000000"/>
          <w:kern w:val="0"/>
        </w:rPr>
        <w:t>, le Tchad a l'un des taux de mortalité maternelle les plus élevés au monde, un phénomène aggravé par le nombre élevé de grossesses précoces (164,5 naissances pour 1 000 adolescentes de 15 à 19 ans).</w:t>
      </w:r>
    </w:p>
    <w:p w14:paraId="0DD14B38"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p>
    <w:p w14:paraId="313F5014"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r w:rsidRPr="006C487A">
        <w:rPr>
          <w:rFonts w:ascii="Tahoma" w:eastAsia="Aptos" w:hAnsi="Tahoma" w:cs="Tahoma"/>
          <w:color w:val="000000"/>
          <w:kern w:val="0"/>
        </w:rPr>
        <w:t xml:space="preserve">L’autonomisation des adolescentes et des jeunes femmes est essentielle pour </w:t>
      </w:r>
      <w:proofErr w:type="gramStart"/>
      <w:r w:rsidRPr="006C487A">
        <w:rPr>
          <w:rFonts w:ascii="Tahoma" w:eastAsia="Aptos" w:hAnsi="Tahoma" w:cs="Tahoma"/>
          <w:color w:val="000000"/>
          <w:kern w:val="0"/>
        </w:rPr>
        <w:t>accélérer</w:t>
      </w:r>
      <w:proofErr w:type="gramEnd"/>
      <w:r w:rsidRPr="006C487A">
        <w:rPr>
          <w:rFonts w:ascii="Tahoma" w:eastAsia="Aptos" w:hAnsi="Tahoma" w:cs="Tahoma"/>
          <w:color w:val="000000"/>
          <w:kern w:val="0"/>
        </w:rPr>
        <w:t xml:space="preserve"> la transition démographique de l’Afrique, améliorer les résultats en matière de développement humain et renforcer le capital humain et une croissance économique inclusive. Investir dans les femmes et les filles peut également bâtir des communautés résilientes qui peuvent se remettre des crises et s’adapter aux menaces croissantes telles que le changement climatique et la fragilité. </w:t>
      </w:r>
    </w:p>
    <w:p w14:paraId="64EFD399"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p>
    <w:p w14:paraId="5F958798"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r w:rsidRPr="006C487A">
        <w:rPr>
          <w:rFonts w:ascii="Tahoma" w:eastAsia="Aptos" w:hAnsi="Tahoma" w:cs="Tahoma"/>
          <w:color w:val="000000"/>
          <w:kern w:val="0"/>
        </w:rPr>
        <w:t>Le projet vise à maintenir l’élan développé par les premières itérations de SWEDD et à élargir et approfondir l’impact sur les adolescentes et leurs communautés. SWEDD+ mettra davantage l’accent sur le renforcement des compétences de vie des adolescentes et des jeunes femmes et leurs connaissances en matière de santé sexuelle et reproductive, à favoriser le maintien des filles à l’école, à créer des débouchés économiques pour les adolescentes et les jeunes femmes et à prévenir les violences basées sur le genre en s’attaquant à leurs racines profondes et aux normes sociales qui les justifient.</w:t>
      </w:r>
    </w:p>
    <w:p w14:paraId="067FCB75"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p>
    <w:p w14:paraId="6FACF6EE" w14:textId="77777777" w:rsidR="00EA71A7" w:rsidRPr="006C487A" w:rsidRDefault="00EA71A7" w:rsidP="00EA71A7">
      <w:pPr>
        <w:autoSpaceDE w:val="0"/>
        <w:autoSpaceDN w:val="0"/>
        <w:adjustRightInd w:val="0"/>
        <w:spacing w:after="0" w:line="276" w:lineRule="auto"/>
        <w:jc w:val="both"/>
        <w:rPr>
          <w:rFonts w:ascii="Tahoma" w:eastAsia="Aptos" w:hAnsi="Tahoma" w:cs="Tahoma"/>
          <w:color w:val="000000"/>
          <w:kern w:val="0"/>
        </w:rPr>
      </w:pPr>
      <w:r w:rsidRPr="006C487A">
        <w:rPr>
          <w:rFonts w:ascii="Tahoma" w:eastAsia="Aptos" w:hAnsi="Tahoma" w:cs="Tahoma"/>
          <w:color w:val="000000"/>
          <w:kern w:val="0"/>
        </w:rPr>
        <w:t xml:space="preserve">Sur le plan national, le projet SWEDD+ couvrira dix-sept provinces, à savoir le Lac, le Kanem, le </w:t>
      </w:r>
      <w:proofErr w:type="spellStart"/>
      <w:r w:rsidRPr="006C487A">
        <w:rPr>
          <w:rFonts w:ascii="Tahoma" w:eastAsia="Aptos" w:hAnsi="Tahoma" w:cs="Tahoma"/>
          <w:color w:val="000000"/>
          <w:kern w:val="0"/>
        </w:rPr>
        <w:t>Hadjer-Lamis</w:t>
      </w:r>
      <w:proofErr w:type="spellEnd"/>
      <w:r w:rsidRPr="006C487A">
        <w:rPr>
          <w:rFonts w:ascii="Tahoma" w:eastAsia="Aptos" w:hAnsi="Tahoma" w:cs="Tahoma"/>
          <w:color w:val="000000"/>
          <w:kern w:val="0"/>
        </w:rPr>
        <w:t xml:space="preserve">, le </w:t>
      </w:r>
      <w:proofErr w:type="spellStart"/>
      <w:r w:rsidRPr="006C487A">
        <w:rPr>
          <w:rFonts w:ascii="Tahoma" w:eastAsia="Aptos" w:hAnsi="Tahoma" w:cs="Tahoma"/>
          <w:color w:val="000000"/>
          <w:kern w:val="0"/>
        </w:rPr>
        <w:t>Salamat</w:t>
      </w:r>
      <w:proofErr w:type="spellEnd"/>
      <w:r w:rsidRPr="006C487A">
        <w:rPr>
          <w:rFonts w:ascii="Tahoma" w:eastAsia="Aptos" w:hAnsi="Tahoma" w:cs="Tahoma"/>
          <w:color w:val="000000"/>
          <w:kern w:val="0"/>
        </w:rPr>
        <w:t xml:space="preserve">, le </w:t>
      </w:r>
      <w:proofErr w:type="spellStart"/>
      <w:r w:rsidRPr="006C487A">
        <w:rPr>
          <w:rFonts w:ascii="Tahoma" w:eastAsia="Aptos" w:hAnsi="Tahoma" w:cs="Tahoma"/>
          <w:color w:val="000000"/>
          <w:kern w:val="0"/>
        </w:rPr>
        <w:t>Batha</w:t>
      </w:r>
      <w:proofErr w:type="spellEnd"/>
      <w:r w:rsidRPr="006C487A">
        <w:rPr>
          <w:rFonts w:ascii="Tahoma" w:eastAsia="Aptos" w:hAnsi="Tahoma" w:cs="Tahoma"/>
          <w:color w:val="000000"/>
          <w:kern w:val="0"/>
        </w:rPr>
        <w:t>, le Borkou, l’Ennedi-Est, le Wadi-</w:t>
      </w:r>
      <w:proofErr w:type="spellStart"/>
      <w:r w:rsidRPr="006C487A">
        <w:rPr>
          <w:rFonts w:ascii="Tahoma" w:eastAsia="Aptos" w:hAnsi="Tahoma" w:cs="Tahoma"/>
          <w:color w:val="000000"/>
          <w:kern w:val="0"/>
        </w:rPr>
        <w:t>Fira</w:t>
      </w:r>
      <w:proofErr w:type="spellEnd"/>
      <w:r w:rsidRPr="006C487A">
        <w:rPr>
          <w:rFonts w:ascii="Tahoma" w:eastAsia="Aptos" w:hAnsi="Tahoma" w:cs="Tahoma"/>
          <w:color w:val="000000"/>
          <w:kern w:val="0"/>
        </w:rPr>
        <w:t xml:space="preserve">, le Mayo </w:t>
      </w:r>
      <w:proofErr w:type="spellStart"/>
      <w:r w:rsidRPr="006C487A">
        <w:rPr>
          <w:rFonts w:ascii="Tahoma" w:eastAsia="Aptos" w:hAnsi="Tahoma" w:cs="Tahoma"/>
          <w:color w:val="000000"/>
          <w:kern w:val="0"/>
        </w:rPr>
        <w:t>Kébbi</w:t>
      </w:r>
      <w:proofErr w:type="spellEnd"/>
      <w:r w:rsidRPr="006C487A">
        <w:rPr>
          <w:rFonts w:ascii="Tahoma" w:eastAsia="Aptos" w:hAnsi="Tahoma" w:cs="Tahoma"/>
          <w:color w:val="000000"/>
          <w:kern w:val="0"/>
        </w:rPr>
        <w:t xml:space="preserve">-Est, le Mayo </w:t>
      </w:r>
      <w:proofErr w:type="spellStart"/>
      <w:r w:rsidRPr="006C487A">
        <w:rPr>
          <w:rFonts w:ascii="Tahoma" w:eastAsia="Aptos" w:hAnsi="Tahoma" w:cs="Tahoma"/>
          <w:color w:val="000000"/>
          <w:kern w:val="0"/>
        </w:rPr>
        <w:t>Kebbi</w:t>
      </w:r>
      <w:proofErr w:type="spellEnd"/>
      <w:r w:rsidRPr="006C487A">
        <w:rPr>
          <w:rFonts w:ascii="Tahoma" w:eastAsia="Aptos" w:hAnsi="Tahoma" w:cs="Tahoma"/>
          <w:color w:val="000000"/>
          <w:kern w:val="0"/>
        </w:rPr>
        <w:t xml:space="preserve">-Ouest, la </w:t>
      </w:r>
      <w:proofErr w:type="spellStart"/>
      <w:r w:rsidRPr="006C487A">
        <w:rPr>
          <w:rFonts w:ascii="Tahoma" w:eastAsia="Aptos" w:hAnsi="Tahoma" w:cs="Tahoma"/>
          <w:color w:val="000000"/>
          <w:kern w:val="0"/>
        </w:rPr>
        <w:t>Tandjilé</w:t>
      </w:r>
      <w:proofErr w:type="spellEnd"/>
      <w:r w:rsidRPr="006C487A">
        <w:rPr>
          <w:rFonts w:ascii="Tahoma" w:eastAsia="Aptos" w:hAnsi="Tahoma" w:cs="Tahoma"/>
          <w:color w:val="000000"/>
          <w:kern w:val="0"/>
        </w:rPr>
        <w:t>, le Chari-Baguirmi, le Bahr-El-</w:t>
      </w:r>
      <w:proofErr w:type="spellStart"/>
      <w:r w:rsidRPr="006C487A">
        <w:rPr>
          <w:rFonts w:ascii="Tahoma" w:eastAsia="Aptos" w:hAnsi="Tahoma" w:cs="Tahoma"/>
          <w:color w:val="000000"/>
          <w:kern w:val="0"/>
        </w:rPr>
        <w:t>Gazel</w:t>
      </w:r>
      <w:proofErr w:type="spellEnd"/>
      <w:r w:rsidRPr="006C487A">
        <w:rPr>
          <w:rFonts w:ascii="Tahoma" w:eastAsia="Aptos" w:hAnsi="Tahoma" w:cs="Tahoma"/>
          <w:color w:val="000000"/>
          <w:kern w:val="0"/>
        </w:rPr>
        <w:t xml:space="preserve">, l’Ennedi-Ouest, le Ouaddaï, le </w:t>
      </w:r>
      <w:proofErr w:type="spellStart"/>
      <w:r w:rsidRPr="006C487A">
        <w:rPr>
          <w:rFonts w:ascii="Tahoma" w:eastAsia="Aptos" w:hAnsi="Tahoma" w:cs="Tahoma"/>
          <w:color w:val="000000"/>
          <w:kern w:val="0"/>
        </w:rPr>
        <w:t>Guera</w:t>
      </w:r>
      <w:proofErr w:type="spellEnd"/>
      <w:r w:rsidRPr="006C487A">
        <w:rPr>
          <w:rFonts w:ascii="Tahoma" w:eastAsia="Aptos" w:hAnsi="Tahoma" w:cs="Tahoma"/>
          <w:color w:val="000000"/>
          <w:kern w:val="0"/>
        </w:rPr>
        <w:t xml:space="preserve"> et le </w:t>
      </w:r>
      <w:proofErr w:type="spellStart"/>
      <w:r w:rsidRPr="006C487A">
        <w:rPr>
          <w:rFonts w:ascii="Tahoma" w:eastAsia="Aptos" w:hAnsi="Tahoma" w:cs="Tahoma"/>
          <w:color w:val="000000"/>
          <w:kern w:val="0"/>
        </w:rPr>
        <w:t>Mandoul</w:t>
      </w:r>
      <w:proofErr w:type="spellEnd"/>
      <w:r w:rsidRPr="006C487A">
        <w:rPr>
          <w:rFonts w:ascii="Tahoma" w:eastAsia="Aptos" w:hAnsi="Tahoma" w:cs="Tahoma"/>
          <w:color w:val="000000"/>
          <w:kern w:val="0"/>
        </w:rPr>
        <w:t>.</w:t>
      </w:r>
    </w:p>
    <w:p w14:paraId="598A07D6" w14:textId="77777777" w:rsidR="00EA71A7" w:rsidRPr="006C487A" w:rsidRDefault="00EA71A7" w:rsidP="00EA71A7">
      <w:pPr>
        <w:autoSpaceDE w:val="0"/>
        <w:autoSpaceDN w:val="0"/>
        <w:adjustRightInd w:val="0"/>
        <w:spacing w:after="0" w:line="240" w:lineRule="auto"/>
        <w:jc w:val="both"/>
        <w:rPr>
          <w:rFonts w:ascii="Tahoma" w:eastAsia="Aptos" w:hAnsi="Tahoma" w:cs="Tahoma"/>
          <w:color w:val="000000"/>
          <w:kern w:val="0"/>
        </w:rPr>
      </w:pPr>
    </w:p>
    <w:p w14:paraId="1F5B94DB" w14:textId="77777777" w:rsidR="00EA71A7" w:rsidRPr="006C487A" w:rsidRDefault="00EA71A7" w:rsidP="00EA71A7">
      <w:pPr>
        <w:autoSpaceDE w:val="0"/>
        <w:autoSpaceDN w:val="0"/>
        <w:adjustRightInd w:val="0"/>
        <w:spacing w:after="0" w:line="240" w:lineRule="auto"/>
        <w:jc w:val="both"/>
        <w:rPr>
          <w:rFonts w:ascii="Tahoma" w:eastAsia="Aptos" w:hAnsi="Tahoma" w:cs="Tahoma"/>
          <w:color w:val="000000"/>
          <w:kern w:val="0"/>
        </w:rPr>
      </w:pPr>
      <w:bookmarkStart w:id="0" w:name="_Toc161306900"/>
      <w:r w:rsidRPr="006C487A">
        <w:rPr>
          <w:rFonts w:ascii="Tahoma" w:eastAsia="Aptos" w:hAnsi="Tahoma" w:cs="Tahoma"/>
          <w:color w:val="000000"/>
          <w:kern w:val="0"/>
        </w:rPr>
        <w:t xml:space="preserve">Cette extension sera l’opportunité indiquée de répliquer les bonnes pratiques issues de la première phase à d’autres provinces mais également de renforcer les acquis dans la </w:t>
      </w:r>
      <w:r w:rsidRPr="006C487A">
        <w:rPr>
          <w:rFonts w:ascii="Tahoma" w:eastAsia="Aptos" w:hAnsi="Tahoma" w:cs="Tahoma"/>
          <w:color w:val="000000"/>
          <w:kern w:val="0"/>
        </w:rPr>
        <w:lastRenderedPageBreak/>
        <w:t>zone pilote et ainsi améliorer les conditions de vie des millions d’adolescentes, de jeunes filles et de femmes tchadiennes</w:t>
      </w:r>
    </w:p>
    <w:bookmarkEnd w:id="0"/>
    <w:p w14:paraId="176A4F8E" w14:textId="77777777" w:rsidR="00EA71A7" w:rsidRPr="006C487A" w:rsidRDefault="00EA71A7" w:rsidP="00EA71A7">
      <w:pPr>
        <w:pBdr>
          <w:bottom w:val="single" w:sz="4" w:space="1" w:color="auto"/>
        </w:pBdr>
        <w:shd w:val="clear" w:color="auto" w:fill="D9D9D9"/>
        <w:spacing w:line="259" w:lineRule="auto"/>
        <w:jc w:val="both"/>
        <w:rPr>
          <w:rFonts w:ascii="Tahoma" w:eastAsia="Calibri" w:hAnsi="Tahoma" w:cs="Tahoma"/>
          <w:b/>
          <w:kern w:val="0"/>
          <w14:ligatures w14:val="none"/>
        </w:rPr>
      </w:pPr>
      <w:r w:rsidRPr="006C487A">
        <w:rPr>
          <w:rFonts w:ascii="Tahoma" w:eastAsia="Calibri" w:hAnsi="Tahoma" w:cs="Tahoma"/>
          <w:b/>
          <w:kern w:val="0"/>
          <w14:ligatures w14:val="none"/>
        </w:rPr>
        <w:t>II. Objectifs et composantes du projet</w:t>
      </w:r>
    </w:p>
    <w:p w14:paraId="647AC4B0" w14:textId="77777777" w:rsidR="00EA71A7" w:rsidRPr="006C487A" w:rsidRDefault="00EA71A7" w:rsidP="00EA71A7">
      <w:pPr>
        <w:autoSpaceDE w:val="0"/>
        <w:autoSpaceDN w:val="0"/>
        <w:adjustRightInd w:val="0"/>
        <w:spacing w:after="0" w:line="240" w:lineRule="auto"/>
        <w:jc w:val="both"/>
        <w:rPr>
          <w:rFonts w:ascii="Tahoma" w:eastAsia="Aptos" w:hAnsi="Tahoma" w:cs="Tahoma"/>
          <w:color w:val="000000"/>
          <w:kern w:val="0"/>
        </w:rPr>
      </w:pPr>
      <w:r w:rsidRPr="006C487A">
        <w:rPr>
          <w:rFonts w:ascii="Tahoma" w:eastAsia="Aptos" w:hAnsi="Tahoma" w:cs="Tahoma"/>
          <w:color w:val="000000"/>
          <w:kern w:val="0"/>
        </w:rPr>
        <w:t>Le projet comporte trois (</w:t>
      </w:r>
      <w:r w:rsidRPr="006C487A">
        <w:rPr>
          <w:rFonts w:ascii="Tahoma" w:eastAsia="Aptos" w:hAnsi="Tahoma" w:cs="Tahoma"/>
          <w:b/>
          <w:bCs/>
          <w:color w:val="000000"/>
          <w:kern w:val="0"/>
        </w:rPr>
        <w:t>03</w:t>
      </w:r>
      <w:r w:rsidRPr="006C487A">
        <w:rPr>
          <w:rFonts w:ascii="Tahoma" w:eastAsia="Aptos" w:hAnsi="Tahoma" w:cs="Tahoma"/>
          <w:color w:val="000000"/>
          <w:kern w:val="0"/>
        </w:rPr>
        <w:t>) composantes essentielles et huit (08) sous-composantes qui servent de base pour la planification des activités au niveau régional et au niveau des pays bénéficiaires :</w:t>
      </w:r>
    </w:p>
    <w:p w14:paraId="54D8866D" w14:textId="77777777" w:rsidR="00EA71A7" w:rsidRPr="006C487A" w:rsidRDefault="00EA71A7" w:rsidP="00EA71A7">
      <w:pPr>
        <w:keepNext/>
        <w:keepLines/>
        <w:spacing w:before="160" w:after="80" w:line="276" w:lineRule="auto"/>
        <w:jc w:val="both"/>
        <w:outlineLvl w:val="2"/>
        <w:rPr>
          <w:rFonts w:ascii="Tahoma" w:eastAsia="Times New Roman" w:hAnsi="Tahoma" w:cs="Tahoma"/>
          <w:kern w:val="0"/>
          <w14:ligatures w14:val="none"/>
        </w:rPr>
      </w:pPr>
      <w:bookmarkStart w:id="1" w:name="_Toc161306901"/>
      <w:r w:rsidRPr="006C487A">
        <w:rPr>
          <w:rFonts w:ascii="Tahoma" w:eastAsia="Times New Roman" w:hAnsi="Tahoma" w:cs="Tahoma"/>
          <w:b/>
          <w:bCs/>
          <w:kern w:val="0"/>
          <w:u w:val="single"/>
          <w14:ligatures w14:val="none"/>
        </w:rPr>
        <w:t>Composante 1</w:t>
      </w:r>
      <w:r w:rsidRPr="006C487A">
        <w:rPr>
          <w:rFonts w:ascii="Tahoma" w:eastAsia="Times New Roman" w:hAnsi="Tahoma" w:cs="Tahoma"/>
          <w:kern w:val="0"/>
          <w14:ligatures w14:val="none"/>
        </w:rPr>
        <w:t xml:space="preserve">. </w:t>
      </w:r>
      <w:bookmarkEnd w:id="1"/>
      <w:r w:rsidRPr="006C487A">
        <w:rPr>
          <w:rFonts w:ascii="Tahoma" w:eastAsia="Calibri" w:hAnsi="Tahoma" w:cs="Tahoma"/>
          <w:kern w:val="0"/>
          <w14:ligatures w14:val="none"/>
        </w:rPr>
        <w:t>Concevoir et mettre en œuvre des interventions transformatrices en matière de genre par le biais des 4E qui favorisent l'autonomisation sociale et économique des filles et des femmes ;</w:t>
      </w:r>
    </w:p>
    <w:p w14:paraId="11A9F26B" w14:textId="77777777" w:rsidR="00EA71A7" w:rsidRPr="006C487A" w:rsidRDefault="00EA71A7" w:rsidP="00EA71A7">
      <w:pPr>
        <w:keepNext/>
        <w:keepLines/>
        <w:spacing w:before="160" w:after="80" w:line="276" w:lineRule="auto"/>
        <w:outlineLvl w:val="2"/>
        <w:rPr>
          <w:rFonts w:ascii="Tahoma" w:eastAsia="Calibri" w:hAnsi="Tahoma" w:cs="Tahoma"/>
          <w:kern w:val="0"/>
          <w14:ligatures w14:val="none"/>
        </w:rPr>
      </w:pPr>
      <w:bookmarkStart w:id="2" w:name="_Toc161306902"/>
      <w:r w:rsidRPr="006C487A">
        <w:rPr>
          <w:rFonts w:ascii="Tahoma" w:eastAsia="Calibri" w:hAnsi="Tahoma" w:cs="Tahoma"/>
          <w:b/>
          <w:bCs/>
          <w:kern w:val="0"/>
          <w:u w:val="single"/>
          <w14:ligatures w14:val="none"/>
        </w:rPr>
        <w:t>Composante 2</w:t>
      </w:r>
      <w:r w:rsidRPr="006C487A">
        <w:rPr>
          <w:rFonts w:ascii="Tahoma" w:eastAsia="Calibri" w:hAnsi="Tahoma" w:cs="Tahoma"/>
          <w:b/>
          <w:bCs/>
          <w:kern w:val="0"/>
          <w14:ligatures w14:val="none"/>
        </w:rPr>
        <w:t> :</w:t>
      </w:r>
      <w:r w:rsidRPr="006C487A">
        <w:rPr>
          <w:rFonts w:ascii="Tahoma" w:eastAsia="Calibri" w:hAnsi="Tahoma" w:cs="Tahoma"/>
          <w:kern w:val="0"/>
          <w14:ligatures w14:val="none"/>
        </w:rPr>
        <w:t xml:space="preserve"> </w:t>
      </w:r>
      <w:bookmarkEnd w:id="2"/>
      <w:r w:rsidRPr="006C487A">
        <w:rPr>
          <w:rFonts w:ascii="Tahoma" w:eastAsia="Calibri" w:hAnsi="Tahoma" w:cs="Tahoma"/>
          <w:kern w:val="0"/>
          <w14:ligatures w14:val="none"/>
        </w:rPr>
        <w:t>Améliorer la disponibilité des produits de santé et nutrition reproductive, maternelle, néonatale, infantile et adolescente (RMNCAHN) et des agents de santé qualifiés au niveau communautaire et renforcer les capacités régionales pour les services adaptés aux adolescents ;</w:t>
      </w:r>
    </w:p>
    <w:p w14:paraId="3FC5BF26" w14:textId="77777777" w:rsidR="00EA71A7" w:rsidRPr="006C487A" w:rsidRDefault="00EA71A7" w:rsidP="00EA71A7">
      <w:pPr>
        <w:keepNext/>
        <w:keepLines/>
        <w:spacing w:before="160" w:after="80" w:line="276" w:lineRule="auto"/>
        <w:outlineLvl w:val="2"/>
        <w:rPr>
          <w:rFonts w:ascii="Tahoma" w:eastAsia="Calibri" w:hAnsi="Tahoma" w:cs="Tahoma"/>
          <w:kern w:val="0"/>
          <w14:ligatures w14:val="none"/>
        </w:rPr>
      </w:pPr>
      <w:bookmarkStart w:id="3" w:name="_Toc161306903"/>
      <w:r w:rsidRPr="006C487A">
        <w:rPr>
          <w:rFonts w:ascii="Tahoma" w:eastAsia="Calibri" w:hAnsi="Tahoma" w:cs="Tahoma"/>
          <w:b/>
          <w:bCs/>
          <w:kern w:val="0"/>
          <w14:ligatures w14:val="none"/>
        </w:rPr>
        <w:t>Composante 3 :</w:t>
      </w:r>
      <w:r w:rsidRPr="006C487A">
        <w:rPr>
          <w:rFonts w:ascii="Tahoma" w:eastAsia="Calibri" w:hAnsi="Tahoma" w:cs="Tahoma"/>
          <w:kern w:val="0"/>
          <w14:ligatures w14:val="none"/>
        </w:rPr>
        <w:t xml:space="preserve"> </w:t>
      </w:r>
      <w:bookmarkEnd w:id="3"/>
      <w:r w:rsidRPr="006C487A">
        <w:rPr>
          <w:rFonts w:ascii="Tahoma" w:eastAsia="Calibri" w:hAnsi="Tahoma" w:cs="Tahoma"/>
          <w:kern w:val="0"/>
          <w14:ligatures w14:val="none"/>
        </w:rPr>
        <w:t>Encourager l'engagement et la capacité nationaux et régionaux pour l'élaboration de politiques et la mise en œuvre de projets.</w:t>
      </w:r>
    </w:p>
    <w:p w14:paraId="2042EB33" w14:textId="77777777" w:rsidR="00EA71A7" w:rsidRPr="006C487A" w:rsidRDefault="00EA71A7" w:rsidP="00EA71A7">
      <w:pPr>
        <w:spacing w:before="240" w:after="200" w:line="360" w:lineRule="auto"/>
        <w:contextualSpacing/>
        <w:jc w:val="both"/>
        <w:outlineLvl w:val="8"/>
        <w:rPr>
          <w:rFonts w:ascii="Tahoma" w:eastAsia="MS Mincho" w:hAnsi="Tahoma" w:cs="Tahoma"/>
          <w:iCs/>
          <w:kern w:val="0"/>
          <w:lang w:val="fr-BE"/>
          <w14:ligatures w14:val="none"/>
        </w:rPr>
      </w:pPr>
      <w:r w:rsidRPr="006C487A">
        <w:rPr>
          <w:rFonts w:ascii="Tahoma" w:eastAsia="MS Mincho" w:hAnsi="Tahoma" w:cs="Tahoma"/>
          <w:iCs/>
          <w:kern w:val="0"/>
          <w:lang w:val="fr-BE"/>
          <w14:ligatures w14:val="none"/>
        </w:rPr>
        <w:t xml:space="preserve">Dans le cadre de la mise en œuvre du projet SWEDD phase II, le Ministère de la Jeunesse et des Sports a bénéficié d’une allocation financière dédiée à l’insertion des jeunes filles, à travers la sous-composante </w:t>
      </w:r>
      <w:r w:rsidRPr="006C487A">
        <w:rPr>
          <w:rFonts w:ascii="Tahoma" w:eastAsia="MS Mincho" w:hAnsi="Tahoma" w:cs="Tahoma"/>
          <w:i/>
          <w:iCs/>
          <w:kern w:val="0"/>
          <w:lang w:val="fr-BE"/>
          <w14:ligatures w14:val="none"/>
        </w:rPr>
        <w:t>« Insertion Socio-professionnelle des Jeunes Filles et Femmes ».</w:t>
      </w:r>
    </w:p>
    <w:p w14:paraId="4245C790" w14:textId="77777777" w:rsidR="00EA71A7" w:rsidRPr="006C487A" w:rsidRDefault="00EA71A7" w:rsidP="00EA71A7">
      <w:pPr>
        <w:spacing w:before="240" w:after="200" w:line="360" w:lineRule="auto"/>
        <w:contextualSpacing/>
        <w:jc w:val="both"/>
        <w:outlineLvl w:val="8"/>
        <w:rPr>
          <w:rFonts w:ascii="Tahoma" w:eastAsia="MS Mincho" w:hAnsi="Tahoma" w:cs="Tahoma"/>
          <w:iCs/>
          <w:kern w:val="0"/>
          <w:lang w:val="fr-BE"/>
          <w14:ligatures w14:val="none"/>
        </w:rPr>
      </w:pPr>
      <w:r w:rsidRPr="006C487A">
        <w:rPr>
          <w:rFonts w:ascii="Tahoma" w:eastAsia="MS Mincho" w:hAnsi="Tahoma" w:cs="Tahoma"/>
          <w:iCs/>
          <w:kern w:val="0"/>
          <w:lang w:val="fr-BE"/>
          <w14:ligatures w14:val="none"/>
        </w:rPr>
        <w:t xml:space="preserve">La question de l’insertion socio-économique et de l’emploi des jeunes, et particulièrement des jeunes filles, reste au cœur des préoccupations du Gouvernement, mettant en évidence l’importance de la participation de cette couche comme facteurs essentiels de progrès. </w:t>
      </w:r>
    </w:p>
    <w:p w14:paraId="0A05B675" w14:textId="77777777" w:rsidR="00EA71A7" w:rsidRPr="006C487A" w:rsidRDefault="00EA71A7" w:rsidP="00EA71A7">
      <w:pPr>
        <w:spacing w:before="240" w:after="0" w:line="360" w:lineRule="auto"/>
        <w:contextualSpacing/>
        <w:jc w:val="both"/>
        <w:outlineLvl w:val="8"/>
        <w:rPr>
          <w:rFonts w:ascii="Tahoma" w:eastAsia="MS Mincho" w:hAnsi="Tahoma" w:cs="Tahoma"/>
          <w:iCs/>
          <w:kern w:val="0"/>
          <w:lang w:val="fr-BE"/>
          <w14:ligatures w14:val="none"/>
        </w:rPr>
      </w:pPr>
      <w:r w:rsidRPr="006C487A">
        <w:rPr>
          <w:rFonts w:ascii="Tahoma" w:eastAsia="MS Mincho" w:hAnsi="Tahoma" w:cs="Tahoma"/>
          <w:iCs/>
          <w:kern w:val="0"/>
          <w:lang w:val="fr-BE"/>
          <w14:ligatures w14:val="none"/>
        </w:rPr>
        <w:t xml:space="preserve">Aussi, importe-t-il de relever que les jeunes de par leur poids démographique et leur dynamisme, constituent un atout de taille dans la capture du dividende démographique. </w:t>
      </w:r>
    </w:p>
    <w:p w14:paraId="18356380" w14:textId="77777777" w:rsidR="00EA71A7" w:rsidRPr="006C487A" w:rsidRDefault="00EA71A7" w:rsidP="00EA71A7">
      <w:pPr>
        <w:spacing w:before="240" w:after="0" w:line="360" w:lineRule="auto"/>
        <w:contextualSpacing/>
        <w:jc w:val="both"/>
        <w:outlineLvl w:val="8"/>
        <w:rPr>
          <w:rFonts w:ascii="Tahoma" w:eastAsia="MS Mincho" w:hAnsi="Tahoma" w:cs="Tahoma"/>
          <w:iCs/>
          <w:kern w:val="0"/>
          <w:lang w:val="fr-BE"/>
          <w14:ligatures w14:val="none"/>
        </w:rPr>
      </w:pPr>
      <w:r w:rsidRPr="006C487A">
        <w:rPr>
          <w:rFonts w:ascii="Tahoma" w:eastAsia="MS Mincho" w:hAnsi="Tahoma" w:cs="Tahoma"/>
          <w:iCs/>
          <w:kern w:val="0"/>
          <w:lang w:val="fr-BE"/>
          <w14:ligatures w14:val="none"/>
        </w:rPr>
        <w:t xml:space="preserve">Cependant, l’analyse de la situation montre que les jeunes sont confrontés à diverses difficultés liées à l’accès à l’éducation, à la formation professionnelle et aux métiers pratiques porteurs. </w:t>
      </w:r>
    </w:p>
    <w:p w14:paraId="03D5CD7E" w14:textId="27349CD1" w:rsidR="00EA71A7" w:rsidRPr="006C487A" w:rsidRDefault="00EA71A7" w:rsidP="00EA71A7">
      <w:pPr>
        <w:autoSpaceDE w:val="0"/>
        <w:autoSpaceDN w:val="0"/>
        <w:adjustRightInd w:val="0"/>
        <w:spacing w:before="240" w:after="200" w:line="360" w:lineRule="auto"/>
        <w:contextualSpacing/>
        <w:jc w:val="both"/>
        <w:outlineLvl w:val="8"/>
        <w:rPr>
          <w:rFonts w:ascii="Tahoma" w:eastAsia="Aptos" w:hAnsi="Tahoma" w:cs="Tahoma"/>
          <w:iCs/>
          <w:kern w:val="0"/>
          <w:lang w:val="fr-BE"/>
          <w14:ligatures w14:val="none"/>
        </w:rPr>
      </w:pPr>
      <w:r w:rsidRPr="006C487A">
        <w:rPr>
          <w:rFonts w:ascii="Tahoma" w:eastAsia="MS Mincho" w:hAnsi="Tahoma" w:cs="Tahoma"/>
          <w:iCs/>
          <w:kern w:val="0"/>
          <w:lang w:val="fr-BE"/>
          <w14:ligatures w14:val="none"/>
        </w:rPr>
        <w:t>Le Sous Projet Insertion Socio-économique des Jeunes filles et femmes est initié pour contribuer au renforcement de la pleine participation des jeunes filles à l’émergence du pays, en favorisant leur capacité à accéder aux connaissances et compétences dans de métiers porteurs et à faire des bons choix économiques pour accéder à leur autonomisation</w:t>
      </w:r>
      <w:r w:rsidRPr="006C487A">
        <w:rPr>
          <w:rFonts w:ascii="Tahoma" w:eastAsia="Aptos" w:hAnsi="Tahoma" w:cs="Tahoma"/>
          <w:iCs/>
          <w:kern w:val="0"/>
          <w:lang w:val="fr-BE"/>
          <w14:ligatures w14:val="none"/>
        </w:rPr>
        <w:t>.</w:t>
      </w:r>
    </w:p>
    <w:p w14:paraId="07092933" w14:textId="06D711E2" w:rsidR="00106898" w:rsidRPr="00106898" w:rsidRDefault="00106898" w:rsidP="00106898">
      <w:p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Le Tchad, à l’instar de nombreux pays de la sous-région, connaît une population majoritairement jeune, dont une proportion importante de filles est confrontée à la </w:t>
      </w:r>
      <w:r w:rsidRPr="00106898">
        <w:rPr>
          <w:rFonts w:ascii="Tahoma" w:eastAsia="Times New Roman" w:hAnsi="Tahoma" w:cs="Tahoma"/>
          <w:kern w:val="0"/>
          <w:lang w:eastAsia="fr-FR"/>
          <w14:ligatures w14:val="none"/>
        </w:rPr>
        <w:lastRenderedPageBreak/>
        <w:t>déscolarisation, au chômage et à l’exclusion économique. Cette situation résulte notamment du manque de qualification professionnelle et de la faible accessibilité à la formation technique adaptée aux besoins du marché de l’emploi.</w:t>
      </w:r>
    </w:p>
    <w:p w14:paraId="057E361D" w14:textId="5C3AD3FE" w:rsidR="00106898" w:rsidRPr="00106898" w:rsidRDefault="00106898" w:rsidP="00106898">
      <w:p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Afin de répondre à ces défis, le Gouvernement du Tchad, à travers le </w:t>
      </w:r>
      <w:r w:rsidRPr="00106898">
        <w:rPr>
          <w:rFonts w:ascii="Tahoma" w:eastAsia="Times New Roman" w:hAnsi="Tahoma" w:cs="Tahoma"/>
          <w:b/>
          <w:bCs/>
          <w:kern w:val="0"/>
          <w:lang w:eastAsia="fr-FR"/>
          <w14:ligatures w14:val="none"/>
        </w:rPr>
        <w:t>Ministère de la Jeunesse et des Sports</w:t>
      </w:r>
      <w:r w:rsidRPr="00106898">
        <w:rPr>
          <w:rFonts w:ascii="Tahoma" w:eastAsia="Times New Roman" w:hAnsi="Tahoma" w:cs="Tahoma"/>
          <w:kern w:val="0"/>
          <w:lang w:eastAsia="fr-FR"/>
          <w14:ligatures w14:val="none"/>
        </w:rPr>
        <w:t xml:space="preserve">, la </w:t>
      </w:r>
      <w:r w:rsidRPr="00106898">
        <w:rPr>
          <w:rFonts w:ascii="Tahoma" w:eastAsia="Times New Roman" w:hAnsi="Tahoma" w:cs="Tahoma"/>
          <w:b/>
          <w:bCs/>
          <w:kern w:val="0"/>
          <w:lang w:eastAsia="fr-FR"/>
          <w14:ligatures w14:val="none"/>
        </w:rPr>
        <w:t>Direction Générale de l’Entrepreneuriat et de l’Innovation</w:t>
      </w:r>
      <w:r w:rsidRPr="00106898">
        <w:rPr>
          <w:rFonts w:ascii="Tahoma" w:eastAsia="Times New Roman" w:hAnsi="Tahoma" w:cs="Tahoma"/>
          <w:kern w:val="0"/>
          <w:lang w:eastAsia="fr-FR"/>
          <w14:ligatures w14:val="none"/>
        </w:rPr>
        <w:t xml:space="preserve">, et en partenariat avec le </w:t>
      </w:r>
      <w:r w:rsidRPr="00106898">
        <w:rPr>
          <w:rFonts w:ascii="Tahoma" w:eastAsia="Times New Roman" w:hAnsi="Tahoma" w:cs="Tahoma"/>
          <w:b/>
          <w:bCs/>
          <w:kern w:val="0"/>
          <w:lang w:eastAsia="fr-FR"/>
          <w14:ligatures w14:val="none"/>
        </w:rPr>
        <w:t>Projet SWEDD+</w:t>
      </w:r>
      <w:r>
        <w:rPr>
          <w:rFonts w:ascii="Tahoma" w:eastAsia="Times New Roman" w:hAnsi="Tahoma" w:cs="Tahoma"/>
          <w:kern w:val="0"/>
          <w:lang w:eastAsia="fr-FR"/>
          <w14:ligatures w14:val="none"/>
        </w:rPr>
        <w:t xml:space="preserve"> et les ONG de mise en </w:t>
      </w:r>
      <w:r w:rsidR="00EA71A7">
        <w:rPr>
          <w:rFonts w:ascii="Tahoma" w:eastAsia="Times New Roman" w:hAnsi="Tahoma" w:cs="Tahoma"/>
          <w:kern w:val="0"/>
          <w:lang w:eastAsia="fr-FR"/>
          <w14:ligatures w14:val="none"/>
        </w:rPr>
        <w:t>œuvre</w:t>
      </w:r>
      <w:r w:rsidRPr="00106898">
        <w:rPr>
          <w:rFonts w:ascii="Tahoma" w:eastAsia="Times New Roman" w:hAnsi="Tahoma" w:cs="Tahoma"/>
          <w:kern w:val="0"/>
          <w:lang w:eastAsia="fr-FR"/>
          <w14:ligatures w14:val="none"/>
        </w:rPr>
        <w:t>, envisage</w:t>
      </w:r>
      <w:r w:rsidR="00EA71A7">
        <w:rPr>
          <w:rFonts w:ascii="Tahoma" w:eastAsia="Times New Roman" w:hAnsi="Tahoma" w:cs="Tahoma"/>
          <w:kern w:val="0"/>
          <w:lang w:eastAsia="fr-FR"/>
          <w14:ligatures w14:val="none"/>
        </w:rPr>
        <w:t>nt</w:t>
      </w:r>
      <w:r w:rsidRPr="00106898">
        <w:rPr>
          <w:rFonts w:ascii="Tahoma" w:eastAsia="Times New Roman" w:hAnsi="Tahoma" w:cs="Tahoma"/>
          <w:kern w:val="0"/>
          <w:lang w:eastAsia="fr-FR"/>
          <w14:ligatures w14:val="none"/>
        </w:rPr>
        <w:t xml:space="preserve"> de former </w:t>
      </w:r>
      <w:r w:rsidRPr="00106898">
        <w:rPr>
          <w:rFonts w:ascii="Tahoma" w:eastAsia="Times New Roman" w:hAnsi="Tahoma" w:cs="Tahoma"/>
          <w:b/>
          <w:bCs/>
          <w:kern w:val="0"/>
          <w:lang w:eastAsia="fr-FR"/>
          <w14:ligatures w14:val="none"/>
        </w:rPr>
        <w:t>3 000 jeunes filles</w:t>
      </w:r>
      <w:r w:rsidRPr="00106898">
        <w:rPr>
          <w:rFonts w:ascii="Tahoma" w:eastAsia="Times New Roman" w:hAnsi="Tahoma" w:cs="Tahoma"/>
          <w:kern w:val="0"/>
          <w:lang w:eastAsia="fr-FR"/>
          <w14:ligatures w14:val="none"/>
        </w:rPr>
        <w:t xml:space="preserve"> dans des </w:t>
      </w:r>
      <w:r w:rsidRPr="00106898">
        <w:rPr>
          <w:rFonts w:ascii="Tahoma" w:eastAsia="Times New Roman" w:hAnsi="Tahoma" w:cs="Tahoma"/>
          <w:b/>
          <w:bCs/>
          <w:kern w:val="0"/>
          <w:lang w:eastAsia="fr-FR"/>
          <w14:ligatures w14:val="none"/>
        </w:rPr>
        <w:t>métiers porteurs</w:t>
      </w:r>
      <w:r w:rsidRPr="00106898">
        <w:rPr>
          <w:rFonts w:ascii="Tahoma" w:eastAsia="Times New Roman" w:hAnsi="Tahoma" w:cs="Tahoma"/>
          <w:kern w:val="0"/>
          <w:lang w:eastAsia="fr-FR"/>
          <w14:ligatures w14:val="none"/>
        </w:rPr>
        <w:t xml:space="preserve"> au sein des </w:t>
      </w:r>
      <w:r w:rsidRPr="00106898">
        <w:rPr>
          <w:rFonts w:ascii="Tahoma" w:eastAsia="Times New Roman" w:hAnsi="Tahoma" w:cs="Tahoma"/>
          <w:b/>
          <w:bCs/>
          <w:kern w:val="0"/>
          <w:lang w:eastAsia="fr-FR"/>
          <w14:ligatures w14:val="none"/>
        </w:rPr>
        <w:t>structures publiques et privées de formation technique et professionnelle</w:t>
      </w:r>
      <w:r w:rsidRPr="00106898">
        <w:rPr>
          <w:rFonts w:ascii="Tahoma" w:eastAsia="Times New Roman" w:hAnsi="Tahoma" w:cs="Tahoma"/>
          <w:kern w:val="0"/>
          <w:lang w:eastAsia="fr-FR"/>
          <w14:ligatures w14:val="none"/>
        </w:rPr>
        <w:t>.</w:t>
      </w:r>
    </w:p>
    <w:p w14:paraId="406D21B8" w14:textId="5D4363FE" w:rsidR="00106898" w:rsidRPr="00106898" w:rsidRDefault="00106898" w:rsidP="00106898">
      <w:p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Cette initiative vise à renforcer leur employabilité, encourager leur insertion économique et promouvoir leur autonomisation à travers l’apprentissage de métiers productifs et adaptés au contexte local.</w:t>
      </w:r>
    </w:p>
    <w:p w14:paraId="35B361F7"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2. Objectif général</w:t>
      </w:r>
    </w:p>
    <w:p w14:paraId="5AF51F89" w14:textId="2D3ADE08" w:rsidR="00106898" w:rsidRPr="00106898" w:rsidRDefault="00106898" w:rsidP="00106898">
      <w:p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Contribuer à l’autonomisation économique des jeunes filles par le renforcement de leurs capacités techniques et professionnelles dans des métiers porteurs et générateurs de revenus.</w:t>
      </w:r>
    </w:p>
    <w:p w14:paraId="08C7BF23"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3. Objectifs spécifiques</w:t>
      </w:r>
    </w:p>
    <w:p w14:paraId="71FC588F" w14:textId="77777777" w:rsidR="00106898" w:rsidRPr="00106898" w:rsidRDefault="00106898" w:rsidP="00106898">
      <w:pPr>
        <w:numPr>
          <w:ilvl w:val="0"/>
          <w:numId w:val="1"/>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Former 3 000 jeunes filles dans les métiers techniques, artisanaux et de services selon les besoins du marché.</w:t>
      </w:r>
    </w:p>
    <w:p w14:paraId="78DE64A6" w14:textId="77777777" w:rsidR="00106898" w:rsidRPr="00106898" w:rsidRDefault="00106898" w:rsidP="00106898">
      <w:pPr>
        <w:numPr>
          <w:ilvl w:val="0"/>
          <w:numId w:val="1"/>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Favoriser l’insertion professionnelle des bénéficiaires à travers des stages, des appuis à l’auto-emploi et des partenariats avec le secteur privé.</w:t>
      </w:r>
    </w:p>
    <w:p w14:paraId="06C83A81" w14:textId="77777777" w:rsidR="00106898" w:rsidRPr="00106898" w:rsidRDefault="00106898" w:rsidP="00106898">
      <w:pPr>
        <w:numPr>
          <w:ilvl w:val="0"/>
          <w:numId w:val="1"/>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Promouvoir la participation active des filles à des filières non traditionnellement féminines (électricité, mécanique, BTP, TIC, etc.).</w:t>
      </w:r>
    </w:p>
    <w:p w14:paraId="24CBB812" w14:textId="36F69420" w:rsidR="00106898" w:rsidRPr="00106898" w:rsidRDefault="00106898" w:rsidP="00106898">
      <w:pPr>
        <w:numPr>
          <w:ilvl w:val="0"/>
          <w:numId w:val="1"/>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Encourager la création de micro-entreprises féminines à la sortie des formations.</w:t>
      </w:r>
    </w:p>
    <w:p w14:paraId="36614C41"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4. Résultats attendus</w:t>
      </w:r>
    </w:p>
    <w:p w14:paraId="4DB7188D" w14:textId="77777777" w:rsidR="00106898" w:rsidRPr="00106898" w:rsidRDefault="00106898" w:rsidP="00106898">
      <w:pPr>
        <w:numPr>
          <w:ilvl w:val="0"/>
          <w:numId w:val="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3 000 jeunes filles sont formées dans au moins </w:t>
      </w:r>
      <w:r w:rsidRPr="00106898">
        <w:rPr>
          <w:rFonts w:ascii="Tahoma" w:eastAsia="Times New Roman" w:hAnsi="Tahoma" w:cs="Tahoma"/>
          <w:b/>
          <w:bCs/>
          <w:kern w:val="0"/>
          <w:lang w:eastAsia="fr-FR"/>
          <w14:ligatures w14:val="none"/>
        </w:rPr>
        <w:t>10 métiers techniques et professionnels</w:t>
      </w:r>
      <w:r w:rsidRPr="00106898">
        <w:rPr>
          <w:rFonts w:ascii="Tahoma" w:eastAsia="Times New Roman" w:hAnsi="Tahoma" w:cs="Tahoma"/>
          <w:kern w:val="0"/>
          <w:lang w:eastAsia="fr-FR"/>
          <w14:ligatures w14:val="none"/>
        </w:rPr>
        <w:t>.</w:t>
      </w:r>
    </w:p>
    <w:p w14:paraId="0435C93F" w14:textId="77777777" w:rsidR="00106898" w:rsidRPr="00106898" w:rsidRDefault="00106898" w:rsidP="00106898">
      <w:pPr>
        <w:numPr>
          <w:ilvl w:val="0"/>
          <w:numId w:val="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lastRenderedPageBreak/>
        <w:t>Les structures de formation partenaires disposent de modules adaptés et validés.</w:t>
      </w:r>
    </w:p>
    <w:p w14:paraId="1E761835" w14:textId="77777777" w:rsidR="00106898" w:rsidRPr="00106898" w:rsidRDefault="00106898" w:rsidP="00106898">
      <w:pPr>
        <w:numPr>
          <w:ilvl w:val="0"/>
          <w:numId w:val="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Au moins 70 % des bénéficiaires accèdent à une activité génératrice de revenus après la formation.</w:t>
      </w:r>
    </w:p>
    <w:p w14:paraId="058AF6EF" w14:textId="58A42D5D" w:rsidR="00106898" w:rsidRPr="00106898" w:rsidRDefault="00106898" w:rsidP="00106898">
      <w:pPr>
        <w:numPr>
          <w:ilvl w:val="0"/>
          <w:numId w:val="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Un système de suivi post-formation est opérationnel pour accompagner les diplômées.</w:t>
      </w:r>
    </w:p>
    <w:p w14:paraId="3F2FF3FC"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5. Méthodologie d’intervention</w:t>
      </w:r>
    </w:p>
    <w:p w14:paraId="2DAFD720" w14:textId="77777777" w:rsidR="00106898" w:rsidRPr="00106898" w:rsidRDefault="00106898" w:rsidP="00106898">
      <w:p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L’approche sera basée sur la </w:t>
      </w:r>
      <w:r w:rsidRPr="00106898">
        <w:rPr>
          <w:rFonts w:ascii="Tahoma" w:eastAsia="Times New Roman" w:hAnsi="Tahoma" w:cs="Tahoma"/>
          <w:b/>
          <w:bCs/>
          <w:kern w:val="0"/>
          <w:lang w:eastAsia="fr-FR"/>
          <w14:ligatures w14:val="none"/>
        </w:rPr>
        <w:t>formation par alternance</w:t>
      </w:r>
      <w:r w:rsidRPr="00106898">
        <w:rPr>
          <w:rFonts w:ascii="Tahoma" w:eastAsia="Times New Roman" w:hAnsi="Tahoma" w:cs="Tahoma"/>
          <w:kern w:val="0"/>
          <w:lang w:eastAsia="fr-FR"/>
          <w14:ligatures w14:val="none"/>
        </w:rPr>
        <w:t>, combinant apprentissage théorique en centre et formation pratique en entreprise ou atelier.</w:t>
      </w:r>
    </w:p>
    <w:p w14:paraId="4DDCB287" w14:textId="77777777" w:rsidR="00106898" w:rsidRPr="00106898" w:rsidRDefault="00106898" w:rsidP="00106898">
      <w:pPr>
        <w:spacing w:before="100" w:beforeAutospacing="1" w:after="100" w:afterAutospacing="1" w:line="360" w:lineRule="auto"/>
        <w:jc w:val="both"/>
        <w:outlineLvl w:val="2"/>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Phases principales :</w:t>
      </w:r>
    </w:p>
    <w:p w14:paraId="26B9BEF5" w14:textId="77777777" w:rsidR="00106898" w:rsidRPr="00106898" w:rsidRDefault="00106898" w:rsidP="00106898">
      <w:pPr>
        <w:numPr>
          <w:ilvl w:val="0"/>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Identification et sélection des bénéficiaires :</w:t>
      </w:r>
    </w:p>
    <w:p w14:paraId="3EDF95A5"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En collaboration avec les délégations régionales de la jeunesse, les collectivités locales et les leaders communautaires.</w:t>
      </w:r>
    </w:p>
    <w:p w14:paraId="227CB036"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Priorité donnée aux filles vulnérables, déscolarisées et non scolarisées.</w:t>
      </w:r>
    </w:p>
    <w:p w14:paraId="2480D638" w14:textId="77777777" w:rsidR="00106898" w:rsidRPr="00106898" w:rsidRDefault="00106898" w:rsidP="00106898">
      <w:pPr>
        <w:numPr>
          <w:ilvl w:val="0"/>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Identification des métiers porteurs et des structures partenaires :</w:t>
      </w:r>
    </w:p>
    <w:p w14:paraId="7DA6EA92"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Diagnostic rapide du marché de l’emploi local.</w:t>
      </w:r>
    </w:p>
    <w:p w14:paraId="0781E724"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Sélection des centres de formation technique et professionnelle agréés.</w:t>
      </w:r>
    </w:p>
    <w:p w14:paraId="1D8D0C8C" w14:textId="77777777" w:rsidR="00106898" w:rsidRPr="00106898" w:rsidRDefault="00106898" w:rsidP="00106898">
      <w:pPr>
        <w:numPr>
          <w:ilvl w:val="0"/>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Conception et harmonisation des modules :</w:t>
      </w:r>
    </w:p>
    <w:p w14:paraId="472720BD"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Adaptation des programmes aux niveaux des participantes et à la durée du projet.</w:t>
      </w:r>
    </w:p>
    <w:p w14:paraId="431FD03F"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Intégration des notions de </w:t>
      </w:r>
      <w:r w:rsidRPr="00106898">
        <w:rPr>
          <w:rFonts w:ascii="Tahoma" w:eastAsia="Times New Roman" w:hAnsi="Tahoma" w:cs="Tahoma"/>
          <w:b/>
          <w:bCs/>
          <w:kern w:val="0"/>
          <w:lang w:eastAsia="fr-FR"/>
          <w14:ligatures w14:val="none"/>
        </w:rPr>
        <w:t>gestion de micro-entreprises, leadership féminin et compétences de vie</w:t>
      </w:r>
      <w:r w:rsidRPr="00106898">
        <w:rPr>
          <w:rFonts w:ascii="Tahoma" w:eastAsia="Times New Roman" w:hAnsi="Tahoma" w:cs="Tahoma"/>
          <w:kern w:val="0"/>
          <w:lang w:eastAsia="fr-FR"/>
          <w14:ligatures w14:val="none"/>
        </w:rPr>
        <w:t>.</w:t>
      </w:r>
    </w:p>
    <w:p w14:paraId="3684D5B5" w14:textId="77777777" w:rsidR="00106898" w:rsidRPr="00106898" w:rsidRDefault="00106898" w:rsidP="00106898">
      <w:pPr>
        <w:numPr>
          <w:ilvl w:val="0"/>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Mise en œuvre de la formation :</w:t>
      </w:r>
    </w:p>
    <w:p w14:paraId="21074BE9"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Formation de 3 à 6 mois selon les filières.</w:t>
      </w:r>
    </w:p>
    <w:p w14:paraId="2FF7E43D"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Encadrement par des formateurs qualifiés et accompagnement individuel.</w:t>
      </w:r>
    </w:p>
    <w:p w14:paraId="53FBD3A6" w14:textId="77777777" w:rsidR="00106898" w:rsidRPr="00106898" w:rsidRDefault="00106898" w:rsidP="00106898">
      <w:pPr>
        <w:numPr>
          <w:ilvl w:val="0"/>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Suivi et évaluation :</w:t>
      </w:r>
    </w:p>
    <w:p w14:paraId="7EF358D3" w14:textId="77777777"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Évaluation des compétences acquises (tests pratiques et théoriques).</w:t>
      </w:r>
    </w:p>
    <w:p w14:paraId="14B73A24" w14:textId="72982515" w:rsidR="00106898" w:rsidRPr="00106898" w:rsidRDefault="00106898" w:rsidP="00106898">
      <w:pPr>
        <w:numPr>
          <w:ilvl w:val="1"/>
          <w:numId w:val="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Suivi post-formation et accompagnement à l’emploi ou à l’auto-emploi.</w:t>
      </w:r>
    </w:p>
    <w:p w14:paraId="543E22AF"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6. Domaines et filières de formation prioritaires</w:t>
      </w:r>
    </w:p>
    <w:p w14:paraId="6EC588D6" w14:textId="77777777" w:rsidR="00106898" w:rsidRPr="00106898" w:rsidRDefault="00106898" w:rsidP="00106898">
      <w:p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lastRenderedPageBreak/>
        <w:t>Les métiers seront choisis selon les opportunités économiques locales et les aspirations des bénéficiaires, notamment :</w:t>
      </w:r>
    </w:p>
    <w:p w14:paraId="2B1F5DD9" w14:textId="77777777" w:rsidR="00106898" w:rsidRPr="00106898" w:rsidRDefault="00106898" w:rsidP="00106898">
      <w:pPr>
        <w:spacing w:before="100" w:beforeAutospacing="1" w:after="100" w:afterAutospacing="1" w:line="240" w:lineRule="auto"/>
        <w:outlineLvl w:val="2"/>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Métiers techniques et artisanaux :</w:t>
      </w:r>
    </w:p>
    <w:p w14:paraId="6D601B15"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Couture, broderie, teinture, maroquinerie</w:t>
      </w:r>
    </w:p>
    <w:p w14:paraId="1AFBD8E3"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Coiffure, esthétique, cosmétique naturelle</w:t>
      </w:r>
    </w:p>
    <w:p w14:paraId="4ABC3170"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Transformation agroalimentaire</w:t>
      </w:r>
    </w:p>
    <w:p w14:paraId="30C17FA3"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Menuiserie bois et métallique</w:t>
      </w:r>
    </w:p>
    <w:p w14:paraId="0A4A63EA"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Électricité bâtiment et solaire</w:t>
      </w:r>
    </w:p>
    <w:p w14:paraId="62E7B75C"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Plomberie et maintenance</w:t>
      </w:r>
    </w:p>
    <w:p w14:paraId="6E723CD4"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Mécanique moto et auto</w:t>
      </w:r>
    </w:p>
    <w:p w14:paraId="2F948D40" w14:textId="77777777" w:rsidR="00106898" w:rsidRPr="00106898" w:rsidRDefault="00106898" w:rsidP="00106898">
      <w:pPr>
        <w:numPr>
          <w:ilvl w:val="0"/>
          <w:numId w:val="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Froid et climatisation</w:t>
      </w:r>
    </w:p>
    <w:p w14:paraId="70FB8A04" w14:textId="77777777" w:rsidR="00106898" w:rsidRPr="00106898" w:rsidRDefault="00106898" w:rsidP="00106898">
      <w:pPr>
        <w:spacing w:before="100" w:beforeAutospacing="1" w:after="100" w:afterAutospacing="1" w:line="240" w:lineRule="auto"/>
        <w:outlineLvl w:val="2"/>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Métiers innovants et émergents :</w:t>
      </w:r>
    </w:p>
    <w:p w14:paraId="7CEABD60" w14:textId="77777777" w:rsidR="00106898" w:rsidRPr="00106898" w:rsidRDefault="00106898" w:rsidP="00106898">
      <w:pPr>
        <w:numPr>
          <w:ilvl w:val="0"/>
          <w:numId w:val="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TIC (bureautique, maintenance informatique, e-commerce)</w:t>
      </w:r>
    </w:p>
    <w:p w14:paraId="54700AE1" w14:textId="77777777" w:rsidR="00106898" w:rsidRPr="00106898" w:rsidRDefault="00106898" w:rsidP="00106898">
      <w:pPr>
        <w:numPr>
          <w:ilvl w:val="0"/>
          <w:numId w:val="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Énergies renouvelables (installation solaire, fabrication de foyers écologiques)</w:t>
      </w:r>
    </w:p>
    <w:p w14:paraId="5D410E32" w14:textId="475DF655" w:rsidR="00106898" w:rsidRPr="00106898" w:rsidRDefault="00106898" w:rsidP="00106898">
      <w:pPr>
        <w:numPr>
          <w:ilvl w:val="0"/>
          <w:numId w:val="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Gestion des déchets et recyclage</w:t>
      </w:r>
    </w:p>
    <w:p w14:paraId="23CA7EA4"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7. Public cible</w:t>
      </w:r>
    </w:p>
    <w:p w14:paraId="2A691154" w14:textId="77777777" w:rsidR="00106898" w:rsidRPr="00106898" w:rsidRDefault="00106898" w:rsidP="00106898">
      <w:pPr>
        <w:numPr>
          <w:ilvl w:val="0"/>
          <w:numId w:val="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3 000 jeunes filles</w:t>
      </w:r>
      <w:r w:rsidRPr="00106898">
        <w:rPr>
          <w:rFonts w:ascii="Tahoma" w:eastAsia="Times New Roman" w:hAnsi="Tahoma" w:cs="Tahoma"/>
          <w:kern w:val="0"/>
          <w:lang w:eastAsia="fr-FR"/>
          <w14:ligatures w14:val="none"/>
        </w:rPr>
        <w:t xml:space="preserve"> âgées de 15 à 35 ans, déscolarisées, non scolarisées ou en situation de vulnérabilité économique.</w:t>
      </w:r>
    </w:p>
    <w:p w14:paraId="4212B6A2" w14:textId="6F19D5BA" w:rsidR="00106898" w:rsidRPr="00106898" w:rsidRDefault="00106898" w:rsidP="00106898">
      <w:pPr>
        <w:numPr>
          <w:ilvl w:val="0"/>
          <w:numId w:val="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Réparties dans les </w:t>
      </w:r>
      <w:r w:rsidRPr="00106898">
        <w:rPr>
          <w:rFonts w:ascii="Tahoma" w:eastAsia="Times New Roman" w:hAnsi="Tahoma" w:cs="Tahoma"/>
          <w:b/>
          <w:bCs/>
          <w:kern w:val="0"/>
          <w:lang w:eastAsia="fr-FR"/>
          <w14:ligatures w14:val="none"/>
        </w:rPr>
        <w:t>23 provinces du Tchad</w:t>
      </w:r>
      <w:r w:rsidRPr="00106898">
        <w:rPr>
          <w:rFonts w:ascii="Tahoma" w:eastAsia="Times New Roman" w:hAnsi="Tahoma" w:cs="Tahoma"/>
          <w:kern w:val="0"/>
          <w:lang w:eastAsia="fr-FR"/>
          <w14:ligatures w14:val="none"/>
        </w:rPr>
        <w:t>, avec une sélection équitable selon la densité démographique et la disponibilité des structures d’accueil.</w:t>
      </w:r>
    </w:p>
    <w:p w14:paraId="62F5486E"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8. Durée et calendrier d’exécution</w:t>
      </w:r>
    </w:p>
    <w:p w14:paraId="76E88D28" w14:textId="77777777" w:rsidR="00106898" w:rsidRPr="00106898" w:rsidRDefault="00106898" w:rsidP="00106898">
      <w:p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La durée totale du projet est prévue sur </w:t>
      </w:r>
      <w:r w:rsidRPr="00106898">
        <w:rPr>
          <w:rFonts w:ascii="Tahoma" w:eastAsia="Times New Roman" w:hAnsi="Tahoma" w:cs="Tahoma"/>
          <w:b/>
          <w:bCs/>
          <w:kern w:val="0"/>
          <w:lang w:eastAsia="fr-FR"/>
          <w14:ligatures w14:val="none"/>
        </w:rPr>
        <w:t>12 mois</w:t>
      </w:r>
      <w:r w:rsidRPr="00106898">
        <w:rPr>
          <w:rFonts w:ascii="Tahoma" w:eastAsia="Times New Roman" w:hAnsi="Tahoma" w:cs="Tahoma"/>
          <w:kern w:val="0"/>
          <w:lang w:eastAsia="fr-FR"/>
          <w14:ligatures w14:val="none"/>
        </w:rPr>
        <w:t>, répartis comme suit :</w:t>
      </w:r>
    </w:p>
    <w:p w14:paraId="527C38A2" w14:textId="77777777" w:rsidR="00106898" w:rsidRPr="00106898" w:rsidRDefault="00106898" w:rsidP="00106898">
      <w:pPr>
        <w:numPr>
          <w:ilvl w:val="0"/>
          <w:numId w:val="7"/>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Mois 1–2 : identification et préparation (bénéficiaires, métiers, centres)</w:t>
      </w:r>
    </w:p>
    <w:p w14:paraId="0295777F" w14:textId="77777777" w:rsidR="00106898" w:rsidRPr="00106898" w:rsidRDefault="00106898" w:rsidP="00106898">
      <w:pPr>
        <w:numPr>
          <w:ilvl w:val="0"/>
          <w:numId w:val="7"/>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Mois 3–8 : déroulement des formations dans les centres techniques</w:t>
      </w:r>
    </w:p>
    <w:p w14:paraId="3B15F20B" w14:textId="77777777" w:rsidR="00106898" w:rsidRPr="00106898" w:rsidRDefault="00106898" w:rsidP="00106898">
      <w:pPr>
        <w:numPr>
          <w:ilvl w:val="0"/>
          <w:numId w:val="7"/>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Mois 9–10 : stages pratiques en entreprise</w:t>
      </w:r>
    </w:p>
    <w:p w14:paraId="3A80F2D1" w14:textId="4BE5844A" w:rsidR="00106898" w:rsidRPr="00106898" w:rsidRDefault="00106898" w:rsidP="00106898">
      <w:pPr>
        <w:numPr>
          <w:ilvl w:val="0"/>
          <w:numId w:val="7"/>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Mois 11–12 : suivi, évaluation et insertion professionnelle</w:t>
      </w:r>
    </w:p>
    <w:p w14:paraId="7FF01097"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9. Structures d’exécution</w:t>
      </w:r>
    </w:p>
    <w:p w14:paraId="37B97ACD" w14:textId="77777777" w:rsidR="00106898" w:rsidRPr="00106898" w:rsidRDefault="00106898" w:rsidP="00106898">
      <w:pPr>
        <w:numPr>
          <w:ilvl w:val="0"/>
          <w:numId w:val="8"/>
        </w:num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Coordination nationale :</w:t>
      </w:r>
      <w:r w:rsidRPr="00106898">
        <w:rPr>
          <w:rFonts w:ascii="Tahoma" w:eastAsia="Times New Roman" w:hAnsi="Tahoma" w:cs="Tahoma"/>
          <w:kern w:val="0"/>
          <w:lang w:eastAsia="fr-FR"/>
          <w14:ligatures w14:val="none"/>
        </w:rPr>
        <w:t xml:space="preserve"> Direction Générale de l’Entrepreneuriat et de l’Innovation / Ministère de la Jeunesse et des Sports</w:t>
      </w:r>
    </w:p>
    <w:p w14:paraId="61A8CD62" w14:textId="77777777" w:rsidR="00106898" w:rsidRPr="00106898" w:rsidRDefault="00106898" w:rsidP="00106898">
      <w:pPr>
        <w:numPr>
          <w:ilvl w:val="0"/>
          <w:numId w:val="8"/>
        </w:num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lastRenderedPageBreak/>
        <w:t>Exécution technique :</w:t>
      </w:r>
      <w:r w:rsidRPr="00106898">
        <w:rPr>
          <w:rFonts w:ascii="Tahoma" w:eastAsia="Times New Roman" w:hAnsi="Tahoma" w:cs="Tahoma"/>
          <w:kern w:val="0"/>
          <w:lang w:eastAsia="fr-FR"/>
          <w14:ligatures w14:val="none"/>
        </w:rPr>
        <w:t xml:space="preserve"> Centres de Formation Professionnelle (CFP), Lycées techniques, ONG partenaires agréées</w:t>
      </w:r>
    </w:p>
    <w:p w14:paraId="23DC0A4F" w14:textId="1775564F" w:rsidR="00106898" w:rsidRPr="00106898" w:rsidRDefault="00106898" w:rsidP="00106898">
      <w:pPr>
        <w:numPr>
          <w:ilvl w:val="0"/>
          <w:numId w:val="8"/>
        </w:num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Partenaires techniques :</w:t>
      </w:r>
      <w:r w:rsidRPr="00106898">
        <w:rPr>
          <w:rFonts w:ascii="Tahoma" w:eastAsia="Times New Roman" w:hAnsi="Tahoma" w:cs="Tahoma"/>
          <w:kern w:val="0"/>
          <w:lang w:eastAsia="fr-FR"/>
          <w14:ligatures w14:val="none"/>
        </w:rPr>
        <w:t xml:space="preserve"> </w:t>
      </w:r>
      <w:r>
        <w:rPr>
          <w:rFonts w:ascii="Tahoma" w:eastAsia="Times New Roman" w:hAnsi="Tahoma" w:cs="Tahoma"/>
          <w:kern w:val="0"/>
          <w:lang w:eastAsia="fr-FR"/>
          <w14:ligatures w14:val="none"/>
        </w:rPr>
        <w:t xml:space="preserve">ONG de mise </w:t>
      </w:r>
      <w:r w:rsidR="00EA71A7">
        <w:rPr>
          <w:rFonts w:ascii="Tahoma" w:eastAsia="Times New Roman" w:hAnsi="Tahoma" w:cs="Tahoma"/>
          <w:kern w:val="0"/>
          <w:lang w:eastAsia="fr-FR"/>
          <w14:ligatures w14:val="none"/>
        </w:rPr>
        <w:t xml:space="preserve">en </w:t>
      </w:r>
      <w:r>
        <w:rPr>
          <w:rFonts w:ascii="Tahoma" w:eastAsia="Times New Roman" w:hAnsi="Tahoma" w:cs="Tahoma"/>
          <w:kern w:val="0"/>
          <w:lang w:eastAsia="fr-FR"/>
          <w14:ligatures w14:val="none"/>
        </w:rPr>
        <w:t xml:space="preserve">œuvre </w:t>
      </w:r>
    </w:p>
    <w:p w14:paraId="2D90531E" w14:textId="1CDFBF5E" w:rsidR="00106898" w:rsidRPr="00106898" w:rsidRDefault="00106898" w:rsidP="001A4AB3">
      <w:pPr>
        <w:numPr>
          <w:ilvl w:val="0"/>
          <w:numId w:val="8"/>
        </w:numPr>
        <w:spacing w:before="100" w:beforeAutospacing="1" w:after="0" w:afterAutospacing="1" w:line="240" w:lineRule="auto"/>
        <w:rPr>
          <w:rFonts w:ascii="Tahoma" w:eastAsia="Times New Roman" w:hAnsi="Tahoma" w:cs="Tahoma"/>
          <w:kern w:val="0"/>
          <w:lang w:eastAsia="fr-FR"/>
          <w14:ligatures w14:val="none"/>
        </w:rPr>
      </w:pPr>
      <w:r w:rsidRPr="00106898">
        <w:rPr>
          <w:rFonts w:ascii="Tahoma" w:eastAsia="Times New Roman" w:hAnsi="Tahoma" w:cs="Tahoma"/>
          <w:b/>
          <w:bCs/>
          <w:kern w:val="0"/>
          <w:lang w:eastAsia="fr-FR"/>
          <w14:ligatures w14:val="none"/>
        </w:rPr>
        <w:t>Partenaires financiers :</w:t>
      </w:r>
      <w:r w:rsidRPr="00106898">
        <w:rPr>
          <w:rFonts w:ascii="Tahoma" w:eastAsia="Times New Roman" w:hAnsi="Tahoma" w:cs="Tahoma"/>
          <w:kern w:val="0"/>
          <w:lang w:eastAsia="fr-FR"/>
          <w14:ligatures w14:val="none"/>
        </w:rPr>
        <w:t xml:space="preserve"> SWEDD+</w:t>
      </w:r>
    </w:p>
    <w:p w14:paraId="14D1751A"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10. Ressources humaines nécessaires</w:t>
      </w:r>
    </w:p>
    <w:p w14:paraId="428619B2" w14:textId="77777777"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1 coordinateur national</w:t>
      </w:r>
    </w:p>
    <w:p w14:paraId="2D94A4CC" w14:textId="77777777"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1 responsable technique et pédagogique</w:t>
      </w:r>
    </w:p>
    <w:p w14:paraId="3A82E580" w14:textId="77777777"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1 expert en suivi-évaluation</w:t>
      </w:r>
    </w:p>
    <w:p w14:paraId="4AAB2C9A" w14:textId="77777777"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1 logisticien</w:t>
      </w:r>
    </w:p>
    <w:p w14:paraId="23DAE644" w14:textId="47EED17D" w:rsidR="00106898" w:rsidRPr="00106898" w:rsidRDefault="00EA71A7"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Pr>
          <w:rFonts w:ascii="Tahoma" w:eastAsia="Times New Roman" w:hAnsi="Tahoma" w:cs="Tahoma"/>
          <w:kern w:val="0"/>
          <w:lang w:eastAsia="fr-FR"/>
          <w14:ligatures w14:val="none"/>
        </w:rPr>
        <w:t>17 Répondants</w:t>
      </w:r>
      <w:r w:rsidR="00106898" w:rsidRPr="00106898">
        <w:rPr>
          <w:rFonts w:ascii="Tahoma" w:eastAsia="Times New Roman" w:hAnsi="Tahoma" w:cs="Tahoma"/>
          <w:kern w:val="0"/>
          <w:lang w:eastAsia="fr-FR"/>
          <w14:ligatures w14:val="none"/>
        </w:rPr>
        <w:t xml:space="preserve"> provinciaux</w:t>
      </w:r>
    </w:p>
    <w:p w14:paraId="1FC07BC6" w14:textId="77777777"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Formateurs spécialisés par filière</w:t>
      </w:r>
    </w:p>
    <w:p w14:paraId="11C11B00" w14:textId="4DC35601" w:rsidR="00106898" w:rsidRPr="00106898" w:rsidRDefault="00106898" w:rsidP="00106898">
      <w:pPr>
        <w:numPr>
          <w:ilvl w:val="0"/>
          <w:numId w:val="9"/>
        </w:numPr>
        <w:spacing w:before="100" w:beforeAutospacing="1" w:after="100" w:afterAutospacing="1" w:line="24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Moniteurs d’ateliers et maîtres artisans</w:t>
      </w:r>
    </w:p>
    <w:p w14:paraId="38358074"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11. Moyens matériels et logistiques</w:t>
      </w:r>
    </w:p>
    <w:p w14:paraId="778DB77B" w14:textId="77777777" w:rsidR="00106898" w:rsidRPr="00106898" w:rsidRDefault="00106898" w:rsidP="00EA71A7">
      <w:pPr>
        <w:numPr>
          <w:ilvl w:val="0"/>
          <w:numId w:val="10"/>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Outils et matériels techniques pour les ateliers (machines à coudre, kits de coiffure, équipements électriques, etc.)</w:t>
      </w:r>
    </w:p>
    <w:p w14:paraId="12C4E59E" w14:textId="77777777" w:rsidR="00106898" w:rsidRPr="00106898" w:rsidRDefault="00106898" w:rsidP="00EA71A7">
      <w:pPr>
        <w:numPr>
          <w:ilvl w:val="0"/>
          <w:numId w:val="10"/>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Kits individuels de formation pour les participantes</w:t>
      </w:r>
    </w:p>
    <w:p w14:paraId="26A9A2A9" w14:textId="77777777" w:rsidR="00106898" w:rsidRPr="00106898" w:rsidRDefault="00106898" w:rsidP="00EA71A7">
      <w:pPr>
        <w:numPr>
          <w:ilvl w:val="0"/>
          <w:numId w:val="10"/>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Supports pédagogiques et modules harmonisés</w:t>
      </w:r>
    </w:p>
    <w:p w14:paraId="54D1F314" w14:textId="77777777" w:rsidR="00106898" w:rsidRPr="00106898" w:rsidRDefault="00106898" w:rsidP="00EA71A7">
      <w:pPr>
        <w:numPr>
          <w:ilvl w:val="0"/>
          <w:numId w:val="10"/>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Salles et ateliers équipés</w:t>
      </w:r>
    </w:p>
    <w:p w14:paraId="2FDA4265" w14:textId="7CBCB9EE" w:rsidR="00106898" w:rsidRPr="00106898" w:rsidRDefault="00106898" w:rsidP="00EA71A7">
      <w:pPr>
        <w:numPr>
          <w:ilvl w:val="0"/>
          <w:numId w:val="10"/>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Moyens de transport pour supervision et visites de terrain</w:t>
      </w:r>
    </w:p>
    <w:p w14:paraId="6331F93A"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12. Budget indicatif</w:t>
      </w:r>
    </w:p>
    <w:p w14:paraId="0F330C6D" w14:textId="77777777" w:rsidR="00106898" w:rsidRPr="00106898" w:rsidRDefault="00106898" w:rsidP="00106898">
      <w:p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Les coûts globaux couvriront :</w:t>
      </w:r>
    </w:p>
    <w:p w14:paraId="347069B8"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Honoraires des formateurs et encadreurs</w:t>
      </w:r>
    </w:p>
    <w:p w14:paraId="5794938E"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Achat et distribution des kits pédagogiques et techniques</w:t>
      </w:r>
    </w:p>
    <w:p w14:paraId="79ED9502"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Location ou réhabilitation d’espaces de formation</w:t>
      </w:r>
    </w:p>
    <w:p w14:paraId="2A7A798B"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Restauration et transport des bénéficiaires</w:t>
      </w:r>
    </w:p>
    <w:p w14:paraId="3795A13D"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Suivi, évaluation et coordination</w:t>
      </w:r>
    </w:p>
    <w:p w14:paraId="02576F8A" w14:textId="77777777" w:rsidR="00106898" w:rsidRPr="00106898" w:rsidRDefault="00106898" w:rsidP="00EA71A7">
      <w:pPr>
        <w:numPr>
          <w:ilvl w:val="0"/>
          <w:numId w:val="11"/>
        </w:num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Visibilité et communication du projet</w:t>
      </w:r>
    </w:p>
    <w:p w14:paraId="1F3DD69B" w14:textId="5AC2A2A8" w:rsidR="00106898" w:rsidRPr="00106898" w:rsidRDefault="00106898" w:rsidP="00EA71A7">
      <w:pPr>
        <w:spacing w:before="100" w:beforeAutospacing="1" w:after="100" w:afterAutospacing="1" w:line="360" w:lineRule="auto"/>
        <w:rPr>
          <w:rFonts w:ascii="Tahoma" w:eastAsia="Times New Roman" w:hAnsi="Tahoma" w:cs="Tahoma"/>
          <w:kern w:val="0"/>
          <w:lang w:eastAsia="fr-FR"/>
          <w14:ligatures w14:val="none"/>
        </w:rPr>
      </w:pPr>
      <w:r w:rsidRPr="00106898">
        <w:rPr>
          <w:rFonts w:ascii="Tahoma" w:eastAsia="Times New Roman" w:hAnsi="Tahoma" w:cs="Tahoma"/>
          <w:i/>
          <w:iCs/>
          <w:kern w:val="0"/>
          <w:lang w:eastAsia="fr-FR"/>
          <w14:ligatures w14:val="none"/>
        </w:rPr>
        <w:t>(Un tableau budgétaire détaillé sera annexé selon les coûts unitaires par filière et par province.)</w:t>
      </w:r>
    </w:p>
    <w:p w14:paraId="225ECAA8"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13. Livrables attendus</w:t>
      </w:r>
    </w:p>
    <w:p w14:paraId="29915A69" w14:textId="77777777"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 d’identification des filières et des structures de formation</w:t>
      </w:r>
    </w:p>
    <w:p w14:paraId="48463DA5" w14:textId="77777777"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Modules pédagogiques adaptés et validés</w:t>
      </w:r>
    </w:p>
    <w:p w14:paraId="49B7B211" w14:textId="77777777"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lastRenderedPageBreak/>
        <w:t>Liste des 3 000 bénéficiaires formées (par province et par métier)</w:t>
      </w:r>
    </w:p>
    <w:p w14:paraId="273708D3" w14:textId="77777777"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Rapports de formation et d’évaluation par filière</w:t>
      </w:r>
    </w:p>
    <w:p w14:paraId="055A478B" w14:textId="77777777"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 de stage et d’insertion professionnelle</w:t>
      </w:r>
    </w:p>
    <w:p w14:paraId="45719836" w14:textId="05403110" w:rsidR="00106898" w:rsidRPr="00106898" w:rsidRDefault="00106898" w:rsidP="00EA71A7">
      <w:pPr>
        <w:numPr>
          <w:ilvl w:val="0"/>
          <w:numId w:val="12"/>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 final consolidé du projet</w:t>
      </w:r>
    </w:p>
    <w:p w14:paraId="31E93A8B"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14. Suivi-évaluation</w:t>
      </w:r>
    </w:p>
    <w:p w14:paraId="5B77A1B0" w14:textId="77777777" w:rsidR="00106898" w:rsidRPr="00106898" w:rsidRDefault="00106898" w:rsidP="00EA71A7">
      <w:pPr>
        <w:numPr>
          <w:ilvl w:val="0"/>
          <w:numId w:val="1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Fiches de suivi individuelles pour chaque participante</w:t>
      </w:r>
    </w:p>
    <w:p w14:paraId="1782C9D0" w14:textId="77777777" w:rsidR="00106898" w:rsidRPr="00106898" w:rsidRDefault="00106898" w:rsidP="00EA71A7">
      <w:pPr>
        <w:numPr>
          <w:ilvl w:val="0"/>
          <w:numId w:val="1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Grilles d’évaluation des compétences pratiques et théoriques</w:t>
      </w:r>
    </w:p>
    <w:p w14:paraId="0F84E11F" w14:textId="77777777" w:rsidR="00106898" w:rsidRPr="00106898" w:rsidRDefault="00106898" w:rsidP="00EA71A7">
      <w:pPr>
        <w:numPr>
          <w:ilvl w:val="0"/>
          <w:numId w:val="1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Rapports mensuels des centres de formation</w:t>
      </w:r>
    </w:p>
    <w:p w14:paraId="77BD0A58" w14:textId="77777777" w:rsidR="00106898" w:rsidRPr="00106898" w:rsidRDefault="00106898" w:rsidP="00EA71A7">
      <w:pPr>
        <w:numPr>
          <w:ilvl w:val="0"/>
          <w:numId w:val="1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Supervision régulière par la coordination nationale</w:t>
      </w:r>
    </w:p>
    <w:p w14:paraId="618B4809" w14:textId="6965DFD6" w:rsidR="00106898" w:rsidRPr="00106898" w:rsidRDefault="00106898" w:rsidP="00EA71A7">
      <w:pPr>
        <w:numPr>
          <w:ilvl w:val="0"/>
          <w:numId w:val="13"/>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Évaluation finale pour mesurer l’insertion et la création d’emplois</w:t>
      </w:r>
    </w:p>
    <w:p w14:paraId="37577137"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15. Partenariats et coordination</w:t>
      </w:r>
    </w:p>
    <w:p w14:paraId="309F0CB2" w14:textId="77777777" w:rsidR="00106898" w:rsidRPr="00106898" w:rsidRDefault="00106898" w:rsidP="00106898">
      <w:p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Le projet sera mis en œuvre de manière concertée avec :</w:t>
      </w:r>
    </w:p>
    <w:p w14:paraId="11029218" w14:textId="3B1D2D00" w:rsidR="00EA71A7" w:rsidRDefault="00EA71A7" w:rsidP="00EA71A7">
      <w:pPr>
        <w:numPr>
          <w:ilvl w:val="0"/>
          <w:numId w:val="14"/>
        </w:numPr>
        <w:spacing w:before="100" w:beforeAutospacing="1" w:after="100" w:afterAutospacing="1" w:line="360" w:lineRule="auto"/>
        <w:jc w:val="both"/>
        <w:rPr>
          <w:rFonts w:ascii="Tahoma" w:eastAsia="Times New Roman" w:hAnsi="Tahoma" w:cs="Tahoma"/>
          <w:kern w:val="0"/>
          <w:lang w:eastAsia="fr-FR"/>
          <w14:ligatures w14:val="none"/>
        </w:rPr>
      </w:pPr>
      <w:r>
        <w:rPr>
          <w:rFonts w:ascii="Tahoma" w:eastAsia="Times New Roman" w:hAnsi="Tahoma" w:cs="Tahoma"/>
          <w:kern w:val="0"/>
          <w:lang w:eastAsia="fr-FR"/>
          <w14:ligatures w14:val="none"/>
        </w:rPr>
        <w:t>Les points focaux du MJS</w:t>
      </w:r>
    </w:p>
    <w:p w14:paraId="5BED6DC5" w14:textId="23A1CEAF" w:rsidR="00EA71A7" w:rsidRDefault="00EA71A7" w:rsidP="00EA71A7">
      <w:pPr>
        <w:numPr>
          <w:ilvl w:val="0"/>
          <w:numId w:val="14"/>
        </w:numPr>
        <w:spacing w:before="100" w:beforeAutospacing="1" w:after="100" w:afterAutospacing="1" w:line="360" w:lineRule="auto"/>
        <w:jc w:val="both"/>
        <w:rPr>
          <w:rFonts w:ascii="Tahoma" w:eastAsia="Times New Roman" w:hAnsi="Tahoma" w:cs="Tahoma"/>
          <w:kern w:val="0"/>
          <w:lang w:eastAsia="fr-FR"/>
          <w14:ligatures w14:val="none"/>
        </w:rPr>
      </w:pPr>
      <w:r>
        <w:rPr>
          <w:rFonts w:ascii="Tahoma" w:eastAsia="Times New Roman" w:hAnsi="Tahoma" w:cs="Tahoma"/>
          <w:kern w:val="0"/>
          <w:lang w:eastAsia="fr-FR"/>
          <w14:ligatures w14:val="none"/>
        </w:rPr>
        <w:t>L’UGP/SWEDD+</w:t>
      </w:r>
    </w:p>
    <w:p w14:paraId="60B6C79A" w14:textId="685B48BE" w:rsidR="00106898" w:rsidRPr="00106898" w:rsidRDefault="00106898" w:rsidP="00EA71A7">
      <w:pPr>
        <w:numPr>
          <w:ilvl w:val="0"/>
          <w:numId w:val="1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Les </w:t>
      </w:r>
      <w:r w:rsidRPr="00106898">
        <w:rPr>
          <w:rFonts w:ascii="Tahoma" w:eastAsia="Times New Roman" w:hAnsi="Tahoma" w:cs="Tahoma"/>
          <w:b/>
          <w:bCs/>
          <w:kern w:val="0"/>
          <w:lang w:eastAsia="fr-FR"/>
          <w14:ligatures w14:val="none"/>
        </w:rPr>
        <w:t xml:space="preserve">délégations </w:t>
      </w:r>
      <w:r w:rsidR="00EA71A7">
        <w:rPr>
          <w:rFonts w:ascii="Tahoma" w:eastAsia="Times New Roman" w:hAnsi="Tahoma" w:cs="Tahoma"/>
          <w:b/>
          <w:bCs/>
          <w:kern w:val="0"/>
          <w:lang w:eastAsia="fr-FR"/>
          <w14:ligatures w14:val="none"/>
        </w:rPr>
        <w:t xml:space="preserve">provinciales </w:t>
      </w:r>
      <w:r w:rsidRPr="00106898">
        <w:rPr>
          <w:rFonts w:ascii="Tahoma" w:eastAsia="Times New Roman" w:hAnsi="Tahoma" w:cs="Tahoma"/>
          <w:b/>
          <w:bCs/>
          <w:kern w:val="0"/>
          <w:lang w:eastAsia="fr-FR"/>
          <w14:ligatures w14:val="none"/>
        </w:rPr>
        <w:t>de la jeunesse</w:t>
      </w:r>
      <w:r w:rsidR="00EA71A7">
        <w:rPr>
          <w:rFonts w:ascii="Tahoma" w:eastAsia="Times New Roman" w:hAnsi="Tahoma" w:cs="Tahoma"/>
          <w:b/>
          <w:bCs/>
          <w:kern w:val="0"/>
          <w:lang w:eastAsia="fr-FR"/>
          <w14:ligatures w14:val="none"/>
        </w:rPr>
        <w:t xml:space="preserve"> et des sports</w:t>
      </w:r>
      <w:r w:rsidRPr="00106898">
        <w:rPr>
          <w:rFonts w:ascii="Tahoma" w:eastAsia="Times New Roman" w:hAnsi="Tahoma" w:cs="Tahoma"/>
          <w:kern w:val="0"/>
          <w:lang w:eastAsia="fr-FR"/>
          <w14:ligatures w14:val="none"/>
        </w:rPr>
        <w:t>,</w:t>
      </w:r>
    </w:p>
    <w:p w14:paraId="5F144EF6" w14:textId="77777777" w:rsidR="00106898" w:rsidRPr="00106898" w:rsidRDefault="00106898" w:rsidP="00EA71A7">
      <w:pPr>
        <w:numPr>
          <w:ilvl w:val="0"/>
          <w:numId w:val="14"/>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 xml:space="preserve">Les </w:t>
      </w:r>
      <w:r w:rsidRPr="00106898">
        <w:rPr>
          <w:rFonts w:ascii="Tahoma" w:eastAsia="Times New Roman" w:hAnsi="Tahoma" w:cs="Tahoma"/>
          <w:b/>
          <w:bCs/>
          <w:kern w:val="0"/>
          <w:lang w:eastAsia="fr-FR"/>
          <w14:ligatures w14:val="none"/>
        </w:rPr>
        <w:t>structures publiques et privées de formation technique</w:t>
      </w:r>
      <w:r w:rsidRPr="00106898">
        <w:rPr>
          <w:rFonts w:ascii="Tahoma" w:eastAsia="Times New Roman" w:hAnsi="Tahoma" w:cs="Tahoma"/>
          <w:kern w:val="0"/>
          <w:lang w:eastAsia="fr-FR"/>
          <w14:ligatures w14:val="none"/>
        </w:rPr>
        <w:t>,</w:t>
      </w:r>
    </w:p>
    <w:p w14:paraId="14A37F65"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16. Profil du prestataire/partenaire de mise en œuvre</w:t>
      </w:r>
    </w:p>
    <w:p w14:paraId="5F5B1198" w14:textId="77777777" w:rsidR="00106898" w:rsidRPr="00106898" w:rsidRDefault="00106898" w:rsidP="00106898">
      <w:pPr>
        <w:spacing w:before="100" w:beforeAutospacing="1" w:after="100" w:afterAutospacing="1" w:line="240" w:lineRule="auto"/>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Les structures ou consultants candidats devront :</w:t>
      </w:r>
    </w:p>
    <w:p w14:paraId="43BECE22" w14:textId="77777777" w:rsidR="00106898" w:rsidRPr="00106898" w:rsidRDefault="00106898" w:rsidP="00EA71A7">
      <w:pPr>
        <w:numPr>
          <w:ilvl w:val="0"/>
          <w:numId w:val="1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Être légalement reconnus et expérimentés dans la formation professionnelle.</w:t>
      </w:r>
    </w:p>
    <w:p w14:paraId="09F6C6FF" w14:textId="77777777" w:rsidR="00106898" w:rsidRPr="00106898" w:rsidRDefault="00106898" w:rsidP="00EA71A7">
      <w:pPr>
        <w:numPr>
          <w:ilvl w:val="0"/>
          <w:numId w:val="1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Disposer de formateurs qualifiés et d’équipements adaptés.</w:t>
      </w:r>
    </w:p>
    <w:p w14:paraId="5B3CD38A" w14:textId="77777777" w:rsidR="00106898" w:rsidRPr="00106898" w:rsidRDefault="00106898" w:rsidP="00EA71A7">
      <w:pPr>
        <w:numPr>
          <w:ilvl w:val="0"/>
          <w:numId w:val="1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Avoir une expérience démontrée en formation des jeunes filles et en insertion professionnelle.</w:t>
      </w:r>
    </w:p>
    <w:p w14:paraId="6C03694F" w14:textId="3560A254" w:rsidR="00106898" w:rsidRPr="00106898" w:rsidRDefault="00106898" w:rsidP="00EA71A7">
      <w:pPr>
        <w:numPr>
          <w:ilvl w:val="0"/>
          <w:numId w:val="15"/>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Présenter un plan logistique clair et un dispositif de suivi-évaluation.</w:t>
      </w:r>
    </w:p>
    <w:p w14:paraId="59EBFFCC" w14:textId="77777777" w:rsidR="00106898" w:rsidRPr="00106898" w:rsidRDefault="00106898" w:rsidP="00106898">
      <w:pPr>
        <w:spacing w:before="100" w:beforeAutospacing="1" w:after="100" w:afterAutospacing="1" w:line="240" w:lineRule="auto"/>
        <w:outlineLvl w:val="1"/>
        <w:rPr>
          <w:rFonts w:ascii="Tahoma" w:eastAsia="Times New Roman" w:hAnsi="Tahoma" w:cs="Tahoma"/>
          <w:b/>
          <w:bCs/>
          <w:kern w:val="0"/>
          <w:lang w:eastAsia="fr-FR"/>
          <w14:ligatures w14:val="none"/>
        </w:rPr>
      </w:pPr>
      <w:r w:rsidRPr="00106898">
        <w:rPr>
          <w:rFonts w:ascii="Tahoma" w:eastAsia="Times New Roman" w:hAnsi="Tahoma" w:cs="Tahoma"/>
          <w:b/>
          <w:bCs/>
          <w:kern w:val="0"/>
          <w:lang w:eastAsia="fr-FR"/>
          <w14:ligatures w14:val="none"/>
        </w:rPr>
        <w:t>17. Livrables du prestataire</w:t>
      </w:r>
    </w:p>
    <w:p w14:paraId="4DC117F0" w14:textId="77777777" w:rsidR="00106898" w:rsidRPr="00106898" w:rsidRDefault="00106898" w:rsidP="00EA71A7">
      <w:pPr>
        <w:numPr>
          <w:ilvl w:val="0"/>
          <w:numId w:val="1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 de démarrage avec la méthodologie et le plan de travail</w:t>
      </w:r>
    </w:p>
    <w:p w14:paraId="03C0426F" w14:textId="77777777" w:rsidR="00106898" w:rsidRPr="00106898" w:rsidRDefault="00106898" w:rsidP="00EA71A7">
      <w:pPr>
        <w:numPr>
          <w:ilvl w:val="0"/>
          <w:numId w:val="1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Modules de formation validés</w:t>
      </w:r>
    </w:p>
    <w:p w14:paraId="01C1538D" w14:textId="77777777" w:rsidR="00106898" w:rsidRPr="00106898" w:rsidRDefault="00106898" w:rsidP="00EA71A7">
      <w:pPr>
        <w:numPr>
          <w:ilvl w:val="0"/>
          <w:numId w:val="1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Rapports d’étape mensuels</w:t>
      </w:r>
    </w:p>
    <w:p w14:paraId="70AEF6AD" w14:textId="77777777" w:rsidR="00106898" w:rsidRPr="00106898" w:rsidRDefault="00106898" w:rsidP="00EA71A7">
      <w:pPr>
        <w:numPr>
          <w:ilvl w:val="0"/>
          <w:numId w:val="16"/>
        </w:numPr>
        <w:spacing w:before="100" w:beforeAutospacing="1" w:after="100" w:afterAutospacing="1" w:line="360" w:lineRule="auto"/>
        <w:jc w:val="both"/>
        <w:rPr>
          <w:rFonts w:ascii="Tahoma" w:eastAsia="Times New Roman" w:hAnsi="Tahoma" w:cs="Tahoma"/>
          <w:kern w:val="0"/>
          <w:lang w:eastAsia="fr-FR"/>
          <w14:ligatures w14:val="none"/>
        </w:rPr>
      </w:pPr>
      <w:r w:rsidRPr="00106898">
        <w:rPr>
          <w:rFonts w:ascii="Tahoma" w:eastAsia="Times New Roman" w:hAnsi="Tahoma" w:cs="Tahoma"/>
          <w:kern w:val="0"/>
          <w:lang w:eastAsia="fr-FR"/>
          <w14:ligatures w14:val="none"/>
        </w:rPr>
        <w:t>Rapport final de mise en œuvre avec base de données des bénéficiaires et analyse d’impact</w:t>
      </w:r>
    </w:p>
    <w:p w14:paraId="35F99AF5" w14:textId="77777777" w:rsidR="00106898" w:rsidRDefault="00106898"/>
    <w:sectPr w:rsidR="00106898" w:rsidSect="00EA71A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F3AB" w14:textId="77777777" w:rsidR="00F55EFF" w:rsidRDefault="00F55EFF" w:rsidP="00EA71A7">
      <w:pPr>
        <w:spacing w:after="0" w:line="240" w:lineRule="auto"/>
      </w:pPr>
      <w:r>
        <w:separator/>
      </w:r>
    </w:p>
  </w:endnote>
  <w:endnote w:type="continuationSeparator" w:id="0">
    <w:p w14:paraId="020B096D" w14:textId="77777777" w:rsidR="00F55EFF" w:rsidRDefault="00F55EFF" w:rsidP="00EA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EA4C" w14:textId="77777777" w:rsidR="00F55EFF" w:rsidRDefault="00F55EFF" w:rsidP="00EA71A7">
      <w:pPr>
        <w:spacing w:after="0" w:line="240" w:lineRule="auto"/>
      </w:pPr>
      <w:r>
        <w:separator/>
      </w:r>
    </w:p>
  </w:footnote>
  <w:footnote w:type="continuationSeparator" w:id="0">
    <w:p w14:paraId="0D9A18DC" w14:textId="77777777" w:rsidR="00F55EFF" w:rsidRDefault="00F55EFF" w:rsidP="00EA71A7">
      <w:pPr>
        <w:spacing w:after="0" w:line="240" w:lineRule="auto"/>
      </w:pPr>
      <w:r>
        <w:continuationSeparator/>
      </w:r>
    </w:p>
  </w:footnote>
  <w:footnote w:id="1">
    <w:p w14:paraId="36845BDF" w14:textId="77777777" w:rsidR="00EA71A7" w:rsidRPr="002E77C8" w:rsidRDefault="00EA71A7" w:rsidP="00EA71A7">
      <w:pPr>
        <w:pStyle w:val="Notedebasdepage"/>
      </w:pPr>
      <w:r>
        <w:rPr>
          <w:rStyle w:val="Appelnotedebasdep"/>
        </w:rPr>
        <w:footnoteRef/>
      </w:r>
      <w:r>
        <w:t xml:space="preserve"> Rapport EDS-MICS, 2014-2015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520"/>
    <w:multiLevelType w:val="multilevel"/>
    <w:tmpl w:val="4DE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128A"/>
    <w:multiLevelType w:val="multilevel"/>
    <w:tmpl w:val="CD2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E6302"/>
    <w:multiLevelType w:val="multilevel"/>
    <w:tmpl w:val="2CB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A75"/>
    <w:multiLevelType w:val="multilevel"/>
    <w:tmpl w:val="66A8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A263B"/>
    <w:multiLevelType w:val="multilevel"/>
    <w:tmpl w:val="9D00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02087"/>
    <w:multiLevelType w:val="multilevel"/>
    <w:tmpl w:val="110E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25BDD"/>
    <w:multiLevelType w:val="multilevel"/>
    <w:tmpl w:val="D24E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D7B5A"/>
    <w:multiLevelType w:val="multilevel"/>
    <w:tmpl w:val="1A3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F46B4"/>
    <w:multiLevelType w:val="multilevel"/>
    <w:tmpl w:val="451E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E66B2"/>
    <w:multiLevelType w:val="multilevel"/>
    <w:tmpl w:val="2B62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63CC4"/>
    <w:multiLevelType w:val="multilevel"/>
    <w:tmpl w:val="F4B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24839"/>
    <w:multiLevelType w:val="multilevel"/>
    <w:tmpl w:val="C766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364C2"/>
    <w:multiLevelType w:val="multilevel"/>
    <w:tmpl w:val="63981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B37F0"/>
    <w:multiLevelType w:val="multilevel"/>
    <w:tmpl w:val="4350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12577"/>
    <w:multiLevelType w:val="multilevel"/>
    <w:tmpl w:val="117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5795C"/>
    <w:multiLevelType w:val="multilevel"/>
    <w:tmpl w:val="FEB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02870">
    <w:abstractNumId w:val="5"/>
  </w:num>
  <w:num w:numId="2" w16cid:durableId="312221419">
    <w:abstractNumId w:val="6"/>
  </w:num>
  <w:num w:numId="3" w16cid:durableId="367029921">
    <w:abstractNumId w:val="12"/>
  </w:num>
  <w:num w:numId="4" w16cid:durableId="1691029710">
    <w:abstractNumId w:val="14"/>
  </w:num>
  <w:num w:numId="5" w16cid:durableId="924415461">
    <w:abstractNumId w:val="11"/>
  </w:num>
  <w:num w:numId="6" w16cid:durableId="1786121089">
    <w:abstractNumId w:val="3"/>
  </w:num>
  <w:num w:numId="7" w16cid:durableId="735859589">
    <w:abstractNumId w:val="2"/>
  </w:num>
  <w:num w:numId="8" w16cid:durableId="330721765">
    <w:abstractNumId w:val="15"/>
  </w:num>
  <w:num w:numId="9" w16cid:durableId="21983940">
    <w:abstractNumId w:val="7"/>
  </w:num>
  <w:num w:numId="10" w16cid:durableId="686564708">
    <w:abstractNumId w:val="1"/>
  </w:num>
  <w:num w:numId="11" w16cid:durableId="1202748112">
    <w:abstractNumId w:val="4"/>
  </w:num>
  <w:num w:numId="12" w16cid:durableId="892812391">
    <w:abstractNumId w:val="8"/>
  </w:num>
  <w:num w:numId="13" w16cid:durableId="467666208">
    <w:abstractNumId w:val="0"/>
  </w:num>
  <w:num w:numId="14" w16cid:durableId="823081005">
    <w:abstractNumId w:val="9"/>
  </w:num>
  <w:num w:numId="15" w16cid:durableId="1908762839">
    <w:abstractNumId w:val="10"/>
  </w:num>
  <w:num w:numId="16" w16cid:durableId="1923292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8"/>
    <w:rsid w:val="00106898"/>
    <w:rsid w:val="005A7F35"/>
    <w:rsid w:val="006C487A"/>
    <w:rsid w:val="00827BA9"/>
    <w:rsid w:val="00BA2B4D"/>
    <w:rsid w:val="00EA71A7"/>
    <w:rsid w:val="00F55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F297"/>
  <w15:chartTrackingRefBased/>
  <w15:docId w15:val="{9363C13D-A7CF-45E1-8CEE-9614B772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68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68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68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68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68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68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68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68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68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68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68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68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68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68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68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6898"/>
    <w:rPr>
      <w:rFonts w:eastAsiaTheme="majorEastAsia" w:cstheme="majorBidi"/>
      <w:color w:val="272727" w:themeColor="text1" w:themeTint="D8"/>
    </w:rPr>
  </w:style>
  <w:style w:type="paragraph" w:styleId="Titre">
    <w:name w:val="Title"/>
    <w:basedOn w:val="Normal"/>
    <w:next w:val="Normal"/>
    <w:link w:val="TitreCar"/>
    <w:uiPriority w:val="10"/>
    <w:qFormat/>
    <w:rsid w:val="0010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68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68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68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6898"/>
    <w:pPr>
      <w:spacing w:before="160"/>
      <w:jc w:val="center"/>
    </w:pPr>
    <w:rPr>
      <w:i/>
      <w:iCs/>
      <w:color w:val="404040" w:themeColor="text1" w:themeTint="BF"/>
    </w:rPr>
  </w:style>
  <w:style w:type="character" w:customStyle="1" w:styleId="CitationCar">
    <w:name w:val="Citation Car"/>
    <w:basedOn w:val="Policepardfaut"/>
    <w:link w:val="Citation"/>
    <w:uiPriority w:val="29"/>
    <w:rsid w:val="00106898"/>
    <w:rPr>
      <w:i/>
      <w:iCs/>
      <w:color w:val="404040" w:themeColor="text1" w:themeTint="BF"/>
    </w:rPr>
  </w:style>
  <w:style w:type="paragraph" w:styleId="Paragraphedeliste">
    <w:name w:val="List Paragraph"/>
    <w:basedOn w:val="Normal"/>
    <w:uiPriority w:val="34"/>
    <w:qFormat/>
    <w:rsid w:val="00106898"/>
    <w:pPr>
      <w:ind w:left="720"/>
      <w:contextualSpacing/>
    </w:pPr>
  </w:style>
  <w:style w:type="character" w:styleId="Accentuationintense">
    <w:name w:val="Intense Emphasis"/>
    <w:basedOn w:val="Policepardfaut"/>
    <w:uiPriority w:val="21"/>
    <w:qFormat/>
    <w:rsid w:val="00106898"/>
    <w:rPr>
      <w:i/>
      <w:iCs/>
      <w:color w:val="0F4761" w:themeColor="accent1" w:themeShade="BF"/>
    </w:rPr>
  </w:style>
  <w:style w:type="paragraph" w:styleId="Citationintense">
    <w:name w:val="Intense Quote"/>
    <w:basedOn w:val="Normal"/>
    <w:next w:val="Normal"/>
    <w:link w:val="CitationintenseCar"/>
    <w:uiPriority w:val="30"/>
    <w:qFormat/>
    <w:rsid w:val="0010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6898"/>
    <w:rPr>
      <w:i/>
      <w:iCs/>
      <w:color w:val="0F4761" w:themeColor="accent1" w:themeShade="BF"/>
    </w:rPr>
  </w:style>
  <w:style w:type="character" w:styleId="Rfrenceintense">
    <w:name w:val="Intense Reference"/>
    <w:basedOn w:val="Policepardfaut"/>
    <w:uiPriority w:val="32"/>
    <w:qFormat/>
    <w:rsid w:val="00106898"/>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EA71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71A7"/>
    <w:rPr>
      <w:sz w:val="20"/>
      <w:szCs w:val="20"/>
    </w:rPr>
  </w:style>
  <w:style w:type="table" w:styleId="Grilledutableau">
    <w:name w:val="Table Grid"/>
    <w:basedOn w:val="TableauNormal"/>
    <w:uiPriority w:val="39"/>
    <w:rsid w:val="00EA71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aliases w:val="ftref,16 Point,Superscript 6 Point,footnote ref,BVI fnr,Ref,de nota al pie,Appel note de bas de page,Footnote Reference Number,Footnote,Char Char Char Char Car Char,Car1,Footnotes refss,Footnote Reference1,fr, Char Char, BVI fnr"/>
    <w:basedOn w:val="Policepardfaut"/>
    <w:uiPriority w:val="99"/>
    <w:qFormat/>
    <w:rsid w:val="00EA7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7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2044</Words>
  <Characters>11247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madingue adoumadji</dc:creator>
  <cp:keywords/>
  <dc:description/>
  <cp:lastModifiedBy>madingue adoumadji</cp:lastModifiedBy>
  <cp:revision>2</cp:revision>
  <dcterms:created xsi:type="dcterms:W3CDTF">2025-11-11T14:13:00Z</dcterms:created>
  <dcterms:modified xsi:type="dcterms:W3CDTF">2025-11-18T12:10:00Z</dcterms:modified>
</cp:coreProperties>
</file>